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C7850" w14:textId="77777777" w:rsidR="006667B2" w:rsidRPr="00147DB2" w:rsidRDefault="006667B2" w:rsidP="00AE17BC">
      <w:pPr>
        <w:pStyle w:val="CDBGCHAPTERTITLE"/>
        <w:rPr>
          <w:sz w:val="48"/>
          <w:szCs w:val="48"/>
        </w:rPr>
      </w:pPr>
      <w:r w:rsidRPr="00147DB2">
        <w:rPr>
          <w:sz w:val="48"/>
          <w:szCs w:val="48"/>
        </w:rPr>
        <w:t>CHAPTER 3</w:t>
      </w:r>
    </w:p>
    <w:p w14:paraId="675059C6" w14:textId="77777777" w:rsidR="006667B2" w:rsidRPr="006B218B" w:rsidRDefault="006667B2" w:rsidP="00AE17BC">
      <w:pPr>
        <w:pStyle w:val="CDBGCHAPTERTITLE"/>
      </w:pPr>
      <w:r w:rsidRPr="002531C6">
        <w:t>ENVIRONMEN</w:t>
      </w:r>
      <w:r w:rsidRPr="006B218B">
        <w:t>TAL REVIEW</w:t>
      </w:r>
    </w:p>
    <w:p w14:paraId="1090E10E" w14:textId="77777777" w:rsidR="006667B2" w:rsidRDefault="006667B2" w:rsidP="00325BAD"/>
    <w:p w14:paraId="2116A25D" w14:textId="77777777" w:rsidR="006667B2" w:rsidRPr="003B7737" w:rsidRDefault="006667B2" w:rsidP="00AE17BC">
      <w:pPr>
        <w:pStyle w:val="CDBGSUBHEAD-Centered"/>
        <w:rPr>
          <w:b w:val="0"/>
          <w:bCs/>
          <w:sz w:val="28"/>
          <w:szCs w:val="28"/>
          <w:u w:val="none"/>
        </w:rPr>
      </w:pPr>
      <w:bookmarkStart w:id="0" w:name="_Toc97765430"/>
      <w:bookmarkStart w:id="1" w:name="_Toc116625134"/>
      <w:bookmarkStart w:id="2" w:name="_Toc121992459"/>
      <w:bookmarkStart w:id="3" w:name="_Toc123110334"/>
      <w:bookmarkStart w:id="4" w:name="_Toc123198552"/>
      <w:bookmarkStart w:id="5" w:name="_Toc140076085"/>
      <w:bookmarkStart w:id="6" w:name="_Toc164323601"/>
      <w:bookmarkStart w:id="7" w:name="_Toc171783637"/>
      <w:r w:rsidRPr="003B7737">
        <w:rPr>
          <w:b w:val="0"/>
          <w:bCs/>
          <w:sz w:val="28"/>
          <w:szCs w:val="28"/>
          <w:u w:val="none"/>
        </w:rPr>
        <w:t>TABLE OF CONTENTS</w:t>
      </w:r>
      <w:bookmarkEnd w:id="0"/>
      <w:bookmarkEnd w:id="1"/>
      <w:bookmarkEnd w:id="2"/>
      <w:bookmarkEnd w:id="3"/>
      <w:bookmarkEnd w:id="4"/>
      <w:bookmarkEnd w:id="5"/>
      <w:bookmarkEnd w:id="6"/>
      <w:bookmarkEnd w:id="7"/>
    </w:p>
    <w:p w14:paraId="7C5FA02D" w14:textId="77777777" w:rsidR="006667B2" w:rsidRPr="004F5841" w:rsidRDefault="006667B2" w:rsidP="00AE17BC">
      <w:pPr>
        <w:jc w:val="center"/>
        <w:rPr>
          <w:rFonts w:cs="Arial"/>
          <w:b/>
          <w:szCs w:val="22"/>
        </w:rPr>
      </w:pPr>
    </w:p>
    <w:p w14:paraId="461C67E6" w14:textId="77777777" w:rsidR="007D4379" w:rsidRPr="007D4379" w:rsidRDefault="006667B2">
      <w:pPr>
        <w:pStyle w:val="TOC1"/>
        <w:rPr>
          <w:rFonts w:ascii="Arial" w:hAnsi="Arial" w:cs="Arial"/>
          <w:sz w:val="22"/>
          <w:szCs w:val="22"/>
        </w:rPr>
      </w:pPr>
      <w:r w:rsidRPr="007D4379">
        <w:rPr>
          <w:rFonts w:ascii="Arial" w:hAnsi="Arial" w:cs="Arial"/>
          <w:sz w:val="22"/>
          <w:szCs w:val="22"/>
        </w:rPr>
        <w:t xml:space="preserve"> Page</w:t>
      </w:r>
    </w:p>
    <w:p w14:paraId="49D4840F" w14:textId="5DFAD137" w:rsidR="001F52AB" w:rsidRPr="001F52AB" w:rsidRDefault="001F52AB">
      <w:pPr>
        <w:pStyle w:val="TOC1"/>
        <w:rPr>
          <w:rFonts w:ascii="Arial" w:eastAsiaTheme="minorEastAsia" w:hAnsi="Arial" w:cs="Arial"/>
          <w:b w:val="0"/>
          <w:bCs w:val="0"/>
          <w:caps w:val="0"/>
          <w:noProof/>
          <w:kern w:val="2"/>
          <w:sz w:val="22"/>
          <w:szCs w:val="22"/>
          <w14:ligatures w14:val="standardContextual"/>
        </w:rPr>
      </w:pPr>
      <w:r>
        <w:rPr>
          <w:rFonts w:cs="Arial"/>
        </w:rPr>
        <w:fldChar w:fldCharType="begin"/>
      </w:r>
      <w:r>
        <w:rPr>
          <w:rFonts w:cs="Arial"/>
        </w:rPr>
        <w:instrText xml:space="preserve"> TOC \h \z \t "Heading 2,2,Heading 5,1,Heading 7,3,CDBG SUB HEAD-Centered,1,CDBG SUB HEAD L-justify,1" </w:instrText>
      </w:r>
      <w:r>
        <w:rPr>
          <w:rFonts w:cs="Arial"/>
        </w:rPr>
        <w:fldChar w:fldCharType="separate"/>
      </w:r>
      <w:hyperlink w:anchor="_Toc171783637" w:history="1">
        <w:r w:rsidRPr="001F52AB">
          <w:rPr>
            <w:rStyle w:val="Hyperlink"/>
            <w:rFonts w:ascii="Arial" w:hAnsi="Arial" w:cs="Arial"/>
            <w:bCs/>
            <w:noProof/>
            <w:sz w:val="22"/>
            <w:szCs w:val="22"/>
          </w:rPr>
          <w:t>TABLE OF CONTENTS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_Toc171783637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w:t>
        </w:r>
        <w:r w:rsidRPr="001F52AB">
          <w:rPr>
            <w:rFonts w:ascii="Arial" w:hAnsi="Arial" w:cs="Arial"/>
            <w:noProof/>
            <w:webHidden/>
            <w:sz w:val="22"/>
            <w:szCs w:val="22"/>
          </w:rPr>
          <w:fldChar w:fldCharType="end"/>
        </w:r>
      </w:hyperlink>
    </w:p>
    <w:p w14:paraId="78DB1A66" w14:textId="69C8B954"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38" w:history="1">
        <w:r w:rsidRPr="001F52AB">
          <w:rPr>
            <w:rStyle w:val="Hyperlink"/>
            <w:rFonts w:ascii="Arial" w:hAnsi="Arial" w:cs="Arial"/>
            <w:noProof/>
            <w:sz w:val="22"/>
            <w:szCs w:val="22"/>
          </w:rPr>
          <w:t>CHAPTER 3</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_Toc171783638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2</w:t>
        </w:r>
        <w:r w:rsidRPr="001F52AB">
          <w:rPr>
            <w:rFonts w:ascii="Arial" w:hAnsi="Arial" w:cs="Arial"/>
            <w:noProof/>
            <w:webHidden/>
            <w:sz w:val="22"/>
            <w:szCs w:val="22"/>
          </w:rPr>
          <w:fldChar w:fldCharType="end"/>
        </w:r>
      </w:hyperlink>
    </w:p>
    <w:p w14:paraId="0890AAED" w14:textId="0892BC70"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39" w:history="1">
        <w:r w:rsidRPr="001F52AB">
          <w:rPr>
            <w:rStyle w:val="Hyperlink"/>
            <w:rFonts w:ascii="Arial" w:hAnsi="Arial" w:cs="Arial"/>
            <w:noProof/>
            <w:sz w:val="22"/>
            <w:szCs w:val="22"/>
          </w:rPr>
          <w:t>ENVIRONMENTAL REVIEW</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_Toc171783639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2</w:t>
        </w:r>
        <w:r w:rsidRPr="001F52AB">
          <w:rPr>
            <w:rFonts w:ascii="Arial" w:hAnsi="Arial" w:cs="Arial"/>
            <w:noProof/>
            <w:webHidden/>
            <w:sz w:val="22"/>
            <w:szCs w:val="22"/>
          </w:rPr>
          <w:fldChar w:fldCharType="end"/>
        </w:r>
      </w:hyperlink>
    </w:p>
    <w:p w14:paraId="30FA00EB" w14:textId="02265747"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40" w:history="1">
        <w:r w:rsidRPr="001F52AB">
          <w:rPr>
            <w:rStyle w:val="Hyperlink"/>
            <w:rFonts w:ascii="Arial" w:hAnsi="Arial" w:cs="Arial"/>
            <w:noProof/>
            <w:sz w:val="22"/>
            <w:szCs w:val="22"/>
          </w:rPr>
          <w:t>3.0 Introduction</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_Toc171783640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2</w:t>
        </w:r>
        <w:r w:rsidRPr="001F52AB">
          <w:rPr>
            <w:rFonts w:ascii="Arial" w:hAnsi="Arial" w:cs="Arial"/>
            <w:noProof/>
            <w:webHidden/>
            <w:sz w:val="22"/>
            <w:szCs w:val="22"/>
          </w:rPr>
          <w:fldChar w:fldCharType="end"/>
        </w:r>
      </w:hyperlink>
    </w:p>
    <w:p w14:paraId="02020168" w14:textId="7015381D"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1" w:history="1">
        <w:r w:rsidRPr="001F52AB">
          <w:rPr>
            <w:rStyle w:val="Hyperlink"/>
            <w:rFonts w:ascii="Arial" w:hAnsi="Arial" w:cs="Arial"/>
            <w:noProof/>
            <w:sz w:val="22"/>
            <w:szCs w:val="22"/>
          </w:rPr>
          <w:t>3.0.1 Basis of Environmental Review</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_Toc171783641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3</w:t>
        </w:r>
        <w:r w:rsidRPr="001F52AB">
          <w:rPr>
            <w:rFonts w:ascii="Arial" w:hAnsi="Arial" w:cs="Arial"/>
            <w:noProof/>
            <w:webHidden/>
            <w:sz w:val="22"/>
            <w:szCs w:val="22"/>
          </w:rPr>
          <w:fldChar w:fldCharType="end"/>
        </w:r>
      </w:hyperlink>
    </w:p>
    <w:p w14:paraId="21FC9194" w14:textId="04BAA7B4"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2" w:history="1">
        <w:r w:rsidRPr="001F52AB">
          <w:rPr>
            <w:rStyle w:val="Hyperlink"/>
            <w:rFonts w:ascii="Arial" w:hAnsi="Arial" w:cs="Arial"/>
            <w:noProof/>
            <w:sz w:val="22"/>
            <w:szCs w:val="22"/>
          </w:rPr>
          <w:t>3.0.2 Timing of the Environmental Review and Choice-Limiting Actions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_Toc171783642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3</w:t>
        </w:r>
        <w:r w:rsidRPr="001F52AB">
          <w:rPr>
            <w:rFonts w:ascii="Arial" w:hAnsi="Arial" w:cs="Arial"/>
            <w:noProof/>
            <w:webHidden/>
            <w:sz w:val="22"/>
            <w:szCs w:val="22"/>
          </w:rPr>
          <w:fldChar w:fldCharType="end"/>
        </w:r>
      </w:hyperlink>
    </w:p>
    <w:p w14:paraId="7169A758" w14:textId="10A5385D"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43" w:history="1">
        <w:r w:rsidRPr="001F52AB">
          <w:rPr>
            <w:rStyle w:val="Hyperlink"/>
            <w:rFonts w:ascii="Arial" w:hAnsi="Arial" w:cs="Arial"/>
            <w:noProof/>
            <w:sz w:val="22"/>
            <w:szCs w:val="22"/>
          </w:rPr>
          <w:t>3.1 Environmental Review Process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_Toc171783643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4</w:t>
        </w:r>
        <w:r w:rsidRPr="001F52AB">
          <w:rPr>
            <w:rFonts w:ascii="Arial" w:hAnsi="Arial" w:cs="Arial"/>
            <w:noProof/>
            <w:webHidden/>
            <w:sz w:val="22"/>
            <w:szCs w:val="22"/>
          </w:rPr>
          <w:fldChar w:fldCharType="end"/>
        </w:r>
      </w:hyperlink>
    </w:p>
    <w:p w14:paraId="7D45BDDF" w14:textId="75001143"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4" w:history="1">
        <w:r w:rsidRPr="001F52AB">
          <w:rPr>
            <w:rStyle w:val="Hyperlink"/>
            <w:rFonts w:ascii="Arial" w:hAnsi="Arial" w:cs="Arial"/>
            <w:noProof/>
            <w:sz w:val="22"/>
            <w:szCs w:val="22"/>
          </w:rPr>
          <w:t>3.1.1 Step 1. Determine Project Description</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_Toc171783644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5</w:t>
        </w:r>
        <w:r w:rsidRPr="001F52AB">
          <w:rPr>
            <w:rFonts w:ascii="Arial" w:hAnsi="Arial" w:cs="Arial"/>
            <w:noProof/>
            <w:webHidden/>
            <w:sz w:val="22"/>
            <w:szCs w:val="22"/>
          </w:rPr>
          <w:fldChar w:fldCharType="end"/>
        </w:r>
      </w:hyperlink>
    </w:p>
    <w:p w14:paraId="77920B38" w14:textId="390A7F9D"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5" w:history="1">
        <w:r w:rsidRPr="001F52AB">
          <w:rPr>
            <w:rStyle w:val="Hyperlink"/>
            <w:rFonts w:ascii="Arial" w:hAnsi="Arial" w:cs="Arial"/>
            <w:noProof/>
            <w:sz w:val="22"/>
            <w:szCs w:val="22"/>
          </w:rPr>
          <w:t>3.1.2 Step 2. Determine the Level of Review</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_Toc171783645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6</w:t>
        </w:r>
        <w:r w:rsidRPr="001F52AB">
          <w:rPr>
            <w:rFonts w:ascii="Arial" w:hAnsi="Arial" w:cs="Arial"/>
            <w:noProof/>
            <w:webHidden/>
            <w:sz w:val="22"/>
            <w:szCs w:val="22"/>
          </w:rPr>
          <w:fldChar w:fldCharType="end"/>
        </w:r>
      </w:hyperlink>
    </w:p>
    <w:p w14:paraId="38C5633F" w14:textId="3DBE85CC"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6" w:history="1">
        <w:r w:rsidRPr="001F52AB">
          <w:rPr>
            <w:rStyle w:val="Hyperlink"/>
            <w:rFonts w:ascii="Arial" w:hAnsi="Arial" w:cs="Arial"/>
            <w:noProof/>
            <w:sz w:val="22"/>
            <w:szCs w:val="22"/>
          </w:rPr>
          <w:t>3.1.3 Step 3. Complete Checklists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_Toc171783646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8</w:t>
        </w:r>
        <w:r w:rsidRPr="001F52AB">
          <w:rPr>
            <w:rFonts w:ascii="Arial" w:hAnsi="Arial" w:cs="Arial"/>
            <w:noProof/>
            <w:webHidden/>
            <w:sz w:val="22"/>
            <w:szCs w:val="22"/>
          </w:rPr>
          <w:fldChar w:fldCharType="end"/>
        </w:r>
      </w:hyperlink>
    </w:p>
    <w:p w14:paraId="077D4421" w14:textId="16A197F1"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47" w:history="1">
        <w:r w:rsidRPr="001F52AB">
          <w:rPr>
            <w:rStyle w:val="Hyperlink"/>
            <w:rFonts w:ascii="Arial" w:hAnsi="Arial" w:cs="Arial"/>
            <w:noProof/>
            <w:sz w:val="22"/>
            <w:szCs w:val="22"/>
          </w:rPr>
          <w:t>Additional Guidance for Certain Review Requirements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_Toc171783647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9</w:t>
        </w:r>
        <w:r w:rsidRPr="001F52AB">
          <w:rPr>
            <w:rFonts w:ascii="Arial" w:hAnsi="Arial" w:cs="Arial"/>
            <w:noProof/>
            <w:webHidden/>
            <w:sz w:val="22"/>
            <w:szCs w:val="22"/>
          </w:rPr>
          <w:fldChar w:fldCharType="end"/>
        </w:r>
      </w:hyperlink>
    </w:p>
    <w:p w14:paraId="6BAB4A1A" w14:textId="2BC852A8" w:rsidR="001F52AB" w:rsidRPr="001F52AB" w:rsidRDefault="001F52AB">
      <w:pPr>
        <w:pStyle w:val="TOC3"/>
        <w:tabs>
          <w:tab w:val="right" w:pos="9926"/>
        </w:tabs>
        <w:rPr>
          <w:rFonts w:ascii="Arial" w:eastAsiaTheme="minorEastAsia" w:hAnsi="Arial" w:cs="Arial"/>
          <w:i w:val="0"/>
          <w:iCs w:val="0"/>
          <w:noProof/>
          <w:kern w:val="2"/>
          <w:sz w:val="22"/>
          <w:szCs w:val="22"/>
          <w14:ligatures w14:val="standardContextual"/>
        </w:rPr>
      </w:pPr>
      <w:hyperlink w:anchor="_Toc171783648" w:history="1">
        <w:r w:rsidRPr="001F52AB">
          <w:rPr>
            <w:rStyle w:val="Hyperlink"/>
            <w:rFonts w:ascii="Arial" w:hAnsi="Arial" w:cs="Arial"/>
            <w:noProof/>
            <w:sz w:val="22"/>
            <w:szCs w:val="22"/>
          </w:rPr>
          <w:t>Historic Preservation Requirements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_Toc171783648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9</w:t>
        </w:r>
        <w:r w:rsidRPr="001F52AB">
          <w:rPr>
            <w:rFonts w:ascii="Arial" w:hAnsi="Arial" w:cs="Arial"/>
            <w:noProof/>
            <w:webHidden/>
            <w:sz w:val="22"/>
            <w:szCs w:val="22"/>
          </w:rPr>
          <w:fldChar w:fldCharType="end"/>
        </w:r>
      </w:hyperlink>
    </w:p>
    <w:p w14:paraId="2546B66B" w14:textId="55B46235" w:rsidR="001F52AB" w:rsidRPr="001F52AB" w:rsidRDefault="001F52AB">
      <w:pPr>
        <w:pStyle w:val="TOC3"/>
        <w:tabs>
          <w:tab w:val="right" w:pos="9926"/>
        </w:tabs>
        <w:rPr>
          <w:rFonts w:ascii="Arial" w:eastAsiaTheme="minorEastAsia" w:hAnsi="Arial" w:cs="Arial"/>
          <w:i w:val="0"/>
          <w:iCs w:val="0"/>
          <w:noProof/>
          <w:kern w:val="2"/>
          <w:sz w:val="22"/>
          <w:szCs w:val="22"/>
          <w14:ligatures w14:val="standardContextual"/>
        </w:rPr>
      </w:pPr>
      <w:hyperlink w:anchor="_Toc171783649" w:history="1">
        <w:r w:rsidRPr="001F52AB">
          <w:rPr>
            <w:rStyle w:val="Hyperlink"/>
            <w:rFonts w:ascii="Arial" w:hAnsi="Arial" w:cs="Arial"/>
            <w:noProof/>
            <w:sz w:val="22"/>
            <w:szCs w:val="22"/>
          </w:rPr>
          <w:t xml:space="preserve">8-Step </w:t>
        </w:r>
        <w:r w:rsidRPr="001F52AB">
          <w:rPr>
            <w:rStyle w:val="Hyperlink"/>
            <w:rFonts w:ascii="Arial" w:hAnsi="Arial" w:cs="Arial"/>
            <w:b w:val="0"/>
            <w:bCs w:val="0"/>
            <w:noProof/>
            <w:sz w:val="22"/>
            <w:szCs w:val="22"/>
          </w:rPr>
          <w:t>Decision</w:t>
        </w:r>
        <w:r w:rsidRPr="001F52AB">
          <w:rPr>
            <w:rStyle w:val="Hyperlink"/>
            <w:rFonts w:ascii="Arial" w:hAnsi="Arial" w:cs="Arial"/>
            <w:noProof/>
            <w:sz w:val="22"/>
            <w:szCs w:val="22"/>
          </w:rPr>
          <w:t xml:space="preserve"> Making Process for Floodplain Management and Protection of Wetlands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_Toc171783649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10</w:t>
        </w:r>
        <w:r w:rsidRPr="001F52AB">
          <w:rPr>
            <w:rFonts w:ascii="Arial" w:hAnsi="Arial" w:cs="Arial"/>
            <w:noProof/>
            <w:webHidden/>
            <w:sz w:val="22"/>
            <w:szCs w:val="22"/>
          </w:rPr>
          <w:fldChar w:fldCharType="end"/>
        </w:r>
      </w:hyperlink>
    </w:p>
    <w:p w14:paraId="24D0DACC" w14:textId="141017EC" w:rsidR="001F52AB" w:rsidRPr="001F52AB" w:rsidRDefault="001F52AB">
      <w:pPr>
        <w:pStyle w:val="TOC3"/>
        <w:tabs>
          <w:tab w:val="right" w:pos="9926"/>
        </w:tabs>
        <w:rPr>
          <w:rFonts w:ascii="Arial" w:eastAsiaTheme="minorEastAsia" w:hAnsi="Arial" w:cs="Arial"/>
          <w:i w:val="0"/>
          <w:iCs w:val="0"/>
          <w:noProof/>
          <w:kern w:val="2"/>
          <w:sz w:val="22"/>
          <w:szCs w:val="22"/>
          <w14:ligatures w14:val="standardContextual"/>
        </w:rPr>
      </w:pPr>
      <w:hyperlink w:anchor="_Toc171783650" w:history="1">
        <w:r w:rsidRPr="001F52AB">
          <w:rPr>
            <w:rStyle w:val="Hyperlink"/>
            <w:rFonts w:ascii="Arial" w:hAnsi="Arial" w:cs="Arial"/>
            <w:noProof/>
            <w:sz w:val="22"/>
            <w:szCs w:val="22"/>
          </w:rPr>
          <w:t>Tiered Review</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_Toc171783650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13</w:t>
        </w:r>
        <w:r w:rsidRPr="001F52AB">
          <w:rPr>
            <w:rFonts w:ascii="Arial" w:hAnsi="Arial" w:cs="Arial"/>
            <w:noProof/>
            <w:webHidden/>
            <w:sz w:val="22"/>
            <w:szCs w:val="22"/>
          </w:rPr>
          <w:fldChar w:fldCharType="end"/>
        </w:r>
      </w:hyperlink>
    </w:p>
    <w:p w14:paraId="7B66993A" w14:textId="12EA4C41"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1" w:history="1">
        <w:r w:rsidRPr="001F52AB">
          <w:rPr>
            <w:rStyle w:val="Hyperlink"/>
            <w:rFonts w:ascii="Arial" w:hAnsi="Arial" w:cs="Arial"/>
            <w:noProof/>
            <w:sz w:val="22"/>
            <w:szCs w:val="22"/>
          </w:rPr>
          <w:t>3.1.4 Step 4. Publish Notices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_Toc171783651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14</w:t>
        </w:r>
        <w:r w:rsidRPr="001F52AB">
          <w:rPr>
            <w:rFonts w:ascii="Arial" w:hAnsi="Arial" w:cs="Arial"/>
            <w:noProof/>
            <w:webHidden/>
            <w:sz w:val="22"/>
            <w:szCs w:val="22"/>
          </w:rPr>
          <w:fldChar w:fldCharType="end"/>
        </w:r>
      </w:hyperlink>
    </w:p>
    <w:p w14:paraId="2A112D19" w14:textId="105F22A3"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2" w:history="1">
        <w:r w:rsidRPr="001F52AB">
          <w:rPr>
            <w:rStyle w:val="Hyperlink"/>
            <w:rFonts w:ascii="Arial" w:hAnsi="Arial" w:cs="Arial"/>
            <w:noProof/>
            <w:sz w:val="22"/>
            <w:szCs w:val="22"/>
          </w:rPr>
          <w:t>3.1.5 Step 5. Certifications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_Toc171783652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15</w:t>
        </w:r>
        <w:r w:rsidRPr="001F52AB">
          <w:rPr>
            <w:rFonts w:ascii="Arial" w:hAnsi="Arial" w:cs="Arial"/>
            <w:noProof/>
            <w:webHidden/>
            <w:sz w:val="22"/>
            <w:szCs w:val="22"/>
          </w:rPr>
          <w:fldChar w:fldCharType="end"/>
        </w:r>
      </w:hyperlink>
    </w:p>
    <w:p w14:paraId="6FFBE8A1" w14:textId="3811BC3D"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3" w:history="1">
        <w:r w:rsidRPr="001F52AB">
          <w:rPr>
            <w:rStyle w:val="Hyperlink"/>
            <w:rFonts w:ascii="Arial" w:hAnsi="Arial" w:cs="Arial"/>
            <w:noProof/>
            <w:sz w:val="22"/>
            <w:szCs w:val="22"/>
          </w:rPr>
          <w:t>3.1.6 Step 6. Submit Clearance Documentation to TDA</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_Toc171783653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16</w:t>
        </w:r>
        <w:r w:rsidRPr="001F52AB">
          <w:rPr>
            <w:rFonts w:ascii="Arial" w:hAnsi="Arial" w:cs="Arial"/>
            <w:noProof/>
            <w:webHidden/>
            <w:sz w:val="22"/>
            <w:szCs w:val="22"/>
          </w:rPr>
          <w:fldChar w:fldCharType="end"/>
        </w:r>
      </w:hyperlink>
    </w:p>
    <w:p w14:paraId="2E184C72" w14:textId="1320408D"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4" w:history="1">
        <w:r w:rsidRPr="001F52AB">
          <w:rPr>
            <w:rStyle w:val="Hyperlink"/>
            <w:rFonts w:ascii="Arial" w:hAnsi="Arial" w:cs="Arial"/>
            <w:noProof/>
            <w:sz w:val="22"/>
            <w:szCs w:val="22"/>
          </w:rPr>
          <w:t>3.1.7 Step 7. State Objection Period and Release of Funds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_Toc171783654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16</w:t>
        </w:r>
        <w:r w:rsidRPr="001F52AB">
          <w:rPr>
            <w:rFonts w:ascii="Arial" w:hAnsi="Arial" w:cs="Arial"/>
            <w:noProof/>
            <w:webHidden/>
            <w:sz w:val="22"/>
            <w:szCs w:val="22"/>
          </w:rPr>
          <w:fldChar w:fldCharType="end"/>
        </w:r>
      </w:hyperlink>
    </w:p>
    <w:p w14:paraId="753970E0" w14:textId="2EB2F7D3"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5" w:history="1">
        <w:r w:rsidRPr="001F52AB">
          <w:rPr>
            <w:rStyle w:val="Hyperlink"/>
            <w:rFonts w:ascii="Arial" w:hAnsi="Arial" w:cs="Arial"/>
            <w:noProof/>
            <w:sz w:val="22"/>
            <w:szCs w:val="22"/>
          </w:rPr>
          <w:t>3.1.8 Step 8. State’s Post-Release Review</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_Toc171783655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17</w:t>
        </w:r>
        <w:r w:rsidRPr="001F52AB">
          <w:rPr>
            <w:rFonts w:ascii="Arial" w:hAnsi="Arial" w:cs="Arial"/>
            <w:noProof/>
            <w:webHidden/>
            <w:sz w:val="22"/>
            <w:szCs w:val="22"/>
          </w:rPr>
          <w:fldChar w:fldCharType="end"/>
        </w:r>
      </w:hyperlink>
    </w:p>
    <w:p w14:paraId="37AC3BCF" w14:textId="7FB3D4B1"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6" w:history="1">
        <w:r w:rsidRPr="001F52AB">
          <w:rPr>
            <w:rStyle w:val="Hyperlink"/>
            <w:rFonts w:ascii="Arial" w:hAnsi="Arial" w:cs="Arial"/>
            <w:noProof/>
            <w:sz w:val="22"/>
            <w:szCs w:val="22"/>
          </w:rPr>
          <w:t>3.1.9 Step 9. Re-Evaluation of the Environmental Determination and Subsequent Amendment Procedure</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_Toc171783656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17</w:t>
        </w:r>
        <w:r w:rsidRPr="001F52AB">
          <w:rPr>
            <w:rFonts w:ascii="Arial" w:hAnsi="Arial" w:cs="Arial"/>
            <w:noProof/>
            <w:webHidden/>
            <w:sz w:val="22"/>
            <w:szCs w:val="22"/>
          </w:rPr>
          <w:fldChar w:fldCharType="end"/>
        </w:r>
      </w:hyperlink>
    </w:p>
    <w:p w14:paraId="657F468B" w14:textId="7DE16F5F"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57" w:history="1">
        <w:r w:rsidRPr="001F52AB">
          <w:rPr>
            <w:rStyle w:val="Hyperlink"/>
            <w:rFonts w:ascii="Arial" w:hAnsi="Arial" w:cs="Arial"/>
            <w:noProof/>
            <w:sz w:val="22"/>
            <w:szCs w:val="22"/>
          </w:rPr>
          <w:t>3.2 Environmental Laws and Regulations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_Toc171783657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18</w:t>
        </w:r>
        <w:r w:rsidRPr="001F52AB">
          <w:rPr>
            <w:rFonts w:ascii="Arial" w:hAnsi="Arial" w:cs="Arial"/>
            <w:noProof/>
            <w:webHidden/>
            <w:sz w:val="22"/>
            <w:szCs w:val="22"/>
          </w:rPr>
          <w:fldChar w:fldCharType="end"/>
        </w:r>
      </w:hyperlink>
    </w:p>
    <w:p w14:paraId="5EC2343C" w14:textId="7BD8D9D3"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8" w:history="1">
        <w:r w:rsidRPr="001F52AB">
          <w:rPr>
            <w:rStyle w:val="Hyperlink"/>
            <w:rFonts w:ascii="Arial" w:hAnsi="Arial" w:cs="Arial"/>
            <w:noProof/>
            <w:sz w:val="22"/>
            <w:szCs w:val="22"/>
          </w:rPr>
          <w:t>3.2.1 Laws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_Toc171783658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18</w:t>
        </w:r>
        <w:r w:rsidRPr="001F52AB">
          <w:rPr>
            <w:rFonts w:ascii="Arial" w:hAnsi="Arial" w:cs="Arial"/>
            <w:noProof/>
            <w:webHidden/>
            <w:sz w:val="22"/>
            <w:szCs w:val="22"/>
          </w:rPr>
          <w:fldChar w:fldCharType="end"/>
        </w:r>
      </w:hyperlink>
    </w:p>
    <w:p w14:paraId="5B5AD7A8" w14:textId="52E72EAF" w:rsidR="001F52AB" w:rsidRPr="001F52AB" w:rsidRDefault="001F52AB">
      <w:pPr>
        <w:pStyle w:val="TOC2"/>
        <w:tabs>
          <w:tab w:val="right" w:pos="9926"/>
        </w:tabs>
        <w:rPr>
          <w:rFonts w:ascii="Arial" w:eastAsiaTheme="minorEastAsia" w:hAnsi="Arial" w:cs="Arial"/>
          <w:smallCaps w:val="0"/>
          <w:noProof/>
          <w:kern w:val="2"/>
          <w:sz w:val="22"/>
          <w:szCs w:val="22"/>
          <w14:ligatures w14:val="standardContextual"/>
        </w:rPr>
      </w:pPr>
      <w:hyperlink w:anchor="_Toc171783659" w:history="1">
        <w:r w:rsidRPr="001F52AB">
          <w:rPr>
            <w:rStyle w:val="Hyperlink"/>
            <w:rFonts w:ascii="Arial" w:hAnsi="Arial" w:cs="Arial"/>
            <w:noProof/>
            <w:sz w:val="22"/>
            <w:szCs w:val="22"/>
          </w:rPr>
          <w:t>3.2.2 Regulations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_Toc171783659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19</w:t>
        </w:r>
        <w:r w:rsidRPr="001F52AB">
          <w:rPr>
            <w:rFonts w:ascii="Arial" w:hAnsi="Arial" w:cs="Arial"/>
            <w:noProof/>
            <w:webHidden/>
            <w:sz w:val="22"/>
            <w:szCs w:val="22"/>
          </w:rPr>
          <w:fldChar w:fldCharType="end"/>
        </w:r>
      </w:hyperlink>
    </w:p>
    <w:p w14:paraId="47103D85" w14:textId="0408FA13" w:rsidR="001F52AB" w:rsidRPr="001F52AB" w:rsidRDefault="001F52AB">
      <w:pPr>
        <w:pStyle w:val="TOC1"/>
        <w:rPr>
          <w:rFonts w:ascii="Arial" w:eastAsiaTheme="minorEastAsia" w:hAnsi="Arial" w:cs="Arial"/>
          <w:b w:val="0"/>
          <w:bCs w:val="0"/>
          <w:caps w:val="0"/>
          <w:noProof/>
          <w:kern w:val="2"/>
          <w:sz w:val="22"/>
          <w:szCs w:val="22"/>
          <w14:ligatures w14:val="standardContextual"/>
        </w:rPr>
      </w:pPr>
      <w:hyperlink w:anchor="_Toc171783660" w:history="1">
        <w:r w:rsidRPr="001F52AB">
          <w:rPr>
            <w:rStyle w:val="Hyperlink"/>
            <w:rFonts w:ascii="Arial" w:hAnsi="Arial" w:cs="Arial"/>
            <w:noProof/>
            <w:sz w:val="22"/>
            <w:szCs w:val="22"/>
          </w:rPr>
          <w:t>Resources</w:t>
        </w:r>
        <w:r w:rsidRPr="001F52AB">
          <w:rPr>
            <w:rFonts w:ascii="Arial" w:hAnsi="Arial" w:cs="Arial"/>
            <w:noProof/>
            <w:webHidden/>
            <w:sz w:val="22"/>
            <w:szCs w:val="22"/>
          </w:rPr>
          <w:tab/>
        </w:r>
        <w:r w:rsidRPr="001F52AB">
          <w:rPr>
            <w:rFonts w:ascii="Arial" w:hAnsi="Arial" w:cs="Arial"/>
            <w:noProof/>
            <w:webHidden/>
            <w:sz w:val="22"/>
            <w:szCs w:val="22"/>
          </w:rPr>
          <w:fldChar w:fldCharType="begin"/>
        </w:r>
        <w:r w:rsidRPr="001F52AB">
          <w:rPr>
            <w:rFonts w:ascii="Arial" w:hAnsi="Arial" w:cs="Arial"/>
            <w:noProof/>
            <w:webHidden/>
            <w:sz w:val="22"/>
            <w:szCs w:val="22"/>
          </w:rPr>
          <w:instrText xml:space="preserve"> PAGEREF _Toc171783660 \h </w:instrText>
        </w:r>
        <w:r w:rsidRPr="001F52AB">
          <w:rPr>
            <w:rFonts w:ascii="Arial" w:hAnsi="Arial" w:cs="Arial"/>
            <w:noProof/>
            <w:webHidden/>
            <w:sz w:val="22"/>
            <w:szCs w:val="22"/>
          </w:rPr>
        </w:r>
        <w:r w:rsidRPr="001F52AB">
          <w:rPr>
            <w:rFonts w:ascii="Arial" w:hAnsi="Arial" w:cs="Arial"/>
            <w:noProof/>
            <w:webHidden/>
            <w:sz w:val="22"/>
            <w:szCs w:val="22"/>
          </w:rPr>
          <w:fldChar w:fldCharType="separate"/>
        </w:r>
        <w:r w:rsidRPr="001F52AB">
          <w:rPr>
            <w:rFonts w:ascii="Arial" w:hAnsi="Arial" w:cs="Arial"/>
            <w:noProof/>
            <w:webHidden/>
            <w:sz w:val="22"/>
            <w:szCs w:val="22"/>
          </w:rPr>
          <w:t>20</w:t>
        </w:r>
        <w:r w:rsidRPr="001F52AB">
          <w:rPr>
            <w:rFonts w:ascii="Arial" w:hAnsi="Arial" w:cs="Arial"/>
            <w:noProof/>
            <w:webHidden/>
            <w:sz w:val="22"/>
            <w:szCs w:val="22"/>
          </w:rPr>
          <w:fldChar w:fldCharType="end"/>
        </w:r>
      </w:hyperlink>
    </w:p>
    <w:p w14:paraId="3E8500AE" w14:textId="5514E9F6" w:rsidR="006667B2" w:rsidRPr="00B94CA2" w:rsidRDefault="001F52AB" w:rsidP="009A611E">
      <w:pPr>
        <w:pStyle w:val="TOC1"/>
        <w:rPr>
          <w:rFonts w:cs="Arial"/>
        </w:rPr>
      </w:pPr>
      <w:r>
        <w:rPr>
          <w:rFonts w:cs="Arial"/>
        </w:rPr>
        <w:fldChar w:fldCharType="end"/>
      </w:r>
      <w:r w:rsidR="006667B2" w:rsidRPr="00B94CA2">
        <w:rPr>
          <w:rFonts w:cs="Arial"/>
        </w:rPr>
        <w:br w:type="page"/>
      </w:r>
    </w:p>
    <w:p w14:paraId="0F77E782" w14:textId="77777777" w:rsidR="006667B2" w:rsidRPr="00147DB2" w:rsidRDefault="006667B2" w:rsidP="00AE17BC">
      <w:pPr>
        <w:pStyle w:val="Heading5"/>
        <w:rPr>
          <w:rFonts w:cs="Arial"/>
          <w:sz w:val="48"/>
          <w:szCs w:val="48"/>
        </w:rPr>
      </w:pPr>
      <w:bookmarkStart w:id="8" w:name="_Toc171783638"/>
      <w:r w:rsidRPr="00147DB2">
        <w:rPr>
          <w:rFonts w:cs="Arial"/>
          <w:sz w:val="48"/>
          <w:szCs w:val="48"/>
        </w:rPr>
        <w:lastRenderedPageBreak/>
        <w:t>CHAPTER 3</w:t>
      </w:r>
      <w:bookmarkEnd w:id="8"/>
    </w:p>
    <w:p w14:paraId="05F926F8" w14:textId="77777777" w:rsidR="006667B2" w:rsidRPr="00147DB2" w:rsidRDefault="006667B2" w:rsidP="00AE17BC">
      <w:pPr>
        <w:pStyle w:val="Heading5"/>
        <w:rPr>
          <w:rFonts w:cs="Arial"/>
          <w:sz w:val="48"/>
          <w:szCs w:val="48"/>
        </w:rPr>
      </w:pPr>
      <w:bookmarkStart w:id="9" w:name="_Toc171783639"/>
      <w:r w:rsidRPr="00147DB2">
        <w:rPr>
          <w:rFonts w:cs="Arial"/>
          <w:sz w:val="48"/>
          <w:szCs w:val="48"/>
        </w:rPr>
        <w:t>ENVIRONMENTAL REVIEW</w:t>
      </w:r>
      <w:bookmarkEnd w:id="9"/>
    </w:p>
    <w:p w14:paraId="4258A92C" w14:textId="77777777" w:rsidR="006667B2" w:rsidRPr="001C1E38" w:rsidRDefault="006667B2" w:rsidP="00AE17BC">
      <w:pPr>
        <w:pStyle w:val="CDBGBODYSTYLE"/>
        <w:spacing w:line="240" w:lineRule="auto"/>
        <w:rPr>
          <w:b/>
          <w:sz w:val="24"/>
          <w:szCs w:val="24"/>
        </w:rPr>
      </w:pPr>
    </w:p>
    <w:p w14:paraId="5E5ED5D9" w14:textId="77777777" w:rsidR="006667B2" w:rsidRPr="00145C39" w:rsidRDefault="006667B2" w:rsidP="001F52AB">
      <w:pPr>
        <w:pStyle w:val="Heading5"/>
      </w:pPr>
      <w:bookmarkStart w:id="10" w:name="_Toc123110425"/>
      <w:bookmarkStart w:id="11" w:name="_Toc171783640"/>
      <w:r w:rsidRPr="00145C39">
        <w:t>3.0 Introduction</w:t>
      </w:r>
      <w:bookmarkEnd w:id="10"/>
      <w:bookmarkEnd w:id="11"/>
    </w:p>
    <w:p w14:paraId="773ED001" w14:textId="77777777" w:rsidR="006667B2" w:rsidRDefault="006667B2" w:rsidP="00AE17BC">
      <w:pPr>
        <w:rPr>
          <w:rFonts w:cs="Arial"/>
          <w:szCs w:val="22"/>
        </w:rPr>
      </w:pPr>
    </w:p>
    <w:p w14:paraId="3FBE9EF7" w14:textId="2F8313C1" w:rsidR="006667B2" w:rsidRDefault="006667B2" w:rsidP="00AE17BC">
      <w:pPr>
        <w:pStyle w:val="CDBGBODYSTYLE"/>
        <w:spacing w:line="240" w:lineRule="auto"/>
      </w:pPr>
      <w:r w:rsidRPr="004F4CFD">
        <w:t xml:space="preserve">The TxCDBG </w:t>
      </w:r>
      <w:r>
        <w:t xml:space="preserve">Grant </w:t>
      </w:r>
      <w:r w:rsidRPr="004F4CFD">
        <w:t>Recipient</w:t>
      </w:r>
      <w:r>
        <w:t xml:space="preserve"> i</w:t>
      </w:r>
      <w:r w:rsidRPr="004F4CFD">
        <w:t xml:space="preserve">s responsible for compliance with federal environmental review requirements.  This chapter includes a summary </w:t>
      </w:r>
      <w:r w:rsidR="005F1887">
        <w:t xml:space="preserve">of federal policy and program procedures </w:t>
      </w:r>
      <w:r w:rsidRPr="004F4CFD">
        <w:t xml:space="preserve">and </w:t>
      </w:r>
      <w:r w:rsidR="005F1887">
        <w:t>is intended to provide a</w:t>
      </w:r>
      <w:r w:rsidR="005F1887" w:rsidRPr="004F4CFD">
        <w:t xml:space="preserve"> </w:t>
      </w:r>
      <w:r w:rsidRPr="004F4CFD">
        <w:t xml:space="preserve">basic understanding of the process. </w:t>
      </w:r>
      <w:r w:rsidR="005F1887">
        <w:t>Grant Recipients</w:t>
      </w:r>
      <w:r w:rsidR="000E1AA0">
        <w:t xml:space="preserve"> and</w:t>
      </w:r>
      <w:r w:rsidR="005F1887">
        <w:t xml:space="preserve"> </w:t>
      </w:r>
      <w:r w:rsidR="000E1AA0" w:rsidRPr="000E1AA0">
        <w:t xml:space="preserve">personnel completing the environmental review </w:t>
      </w:r>
      <w:r w:rsidR="005F1887">
        <w:t xml:space="preserve">are responsible for </w:t>
      </w:r>
      <w:r w:rsidR="00E52CE1">
        <w:t>staying</w:t>
      </w:r>
      <w:r w:rsidR="00814D23">
        <w:t xml:space="preserve"> informed of</w:t>
      </w:r>
      <w:r w:rsidR="001F52AB">
        <w:t xml:space="preserve"> </w:t>
      </w:r>
      <w:r w:rsidR="005F1887">
        <w:t>any</w:t>
      </w:r>
      <w:r w:rsidR="005F1887" w:rsidRPr="004F4CFD">
        <w:t xml:space="preserve"> </w:t>
      </w:r>
      <w:r w:rsidRPr="004F4CFD">
        <w:t>periodic</w:t>
      </w:r>
      <w:r w:rsidR="00814D23">
        <w:t xml:space="preserve"> policy</w:t>
      </w:r>
      <w:r w:rsidRPr="004F4CFD">
        <w:t xml:space="preserve"> updates provided by HUD </w:t>
      </w:r>
      <w:r w:rsidR="00814D23">
        <w:t>and TDA</w:t>
      </w:r>
      <w:r w:rsidR="000E1AA0">
        <w:t>.</w:t>
      </w:r>
      <w:r w:rsidRPr="004F4CFD">
        <w:t xml:space="preserve"> </w:t>
      </w:r>
      <w:r w:rsidR="000E1AA0">
        <w:t>Likewise, Grant Recipients and their environmental preparers must</w:t>
      </w:r>
      <w:r w:rsidRPr="001768E6">
        <w:t xml:space="preserve"> be familiar with the resources and </w:t>
      </w:r>
      <w:r w:rsidR="000E1AA0">
        <w:t>materials</w:t>
      </w:r>
      <w:r w:rsidR="000E1AA0" w:rsidRPr="001768E6">
        <w:t xml:space="preserve"> </w:t>
      </w:r>
      <w:r w:rsidRPr="001768E6">
        <w:t>found on the HUD Environmental Review website</w:t>
      </w:r>
      <w:r>
        <w:t xml:space="preserve">, </w:t>
      </w:r>
      <w:r w:rsidRPr="001768E6">
        <w:t xml:space="preserve">also known as </w:t>
      </w:r>
      <w:r w:rsidRPr="009C1442">
        <w:rPr>
          <w:b/>
          <w:bCs/>
        </w:rPr>
        <w:t>HUD Exchange</w:t>
      </w:r>
      <w:r>
        <w:t xml:space="preserve">, </w:t>
      </w:r>
      <w:r w:rsidRPr="001768E6">
        <w:t xml:space="preserve">and should contact the </w:t>
      </w:r>
      <w:r w:rsidRPr="001768E6">
        <w:rPr>
          <w:spacing w:val="-4"/>
        </w:rPr>
        <w:t xml:space="preserve">TDA Environmental </w:t>
      </w:r>
      <w:r w:rsidRPr="002655B0">
        <w:rPr>
          <w:spacing w:val="-4"/>
        </w:rPr>
        <w:t xml:space="preserve">Specialist at </w:t>
      </w:r>
      <w:hyperlink r:id="rId8" w:history="1">
        <w:r w:rsidRPr="00820275">
          <w:rPr>
            <w:rStyle w:val="Hyperlink"/>
            <w:color w:val="auto"/>
            <w:spacing w:val="-4"/>
            <w:u w:val="none"/>
          </w:rPr>
          <w:t>CDBG_EnvReview@TexasAgriculture.gov</w:t>
        </w:r>
      </w:hyperlink>
      <w:r w:rsidRPr="00147DB2">
        <w:rPr>
          <w:b/>
          <w:spacing w:val="-4"/>
        </w:rPr>
        <w:t xml:space="preserve"> </w:t>
      </w:r>
      <w:r w:rsidRPr="002655B0">
        <w:rPr>
          <w:spacing w:val="-4"/>
        </w:rPr>
        <w:t>for technical assistance</w:t>
      </w:r>
      <w:r w:rsidRPr="002655B0">
        <w:t xml:space="preserve">. </w:t>
      </w:r>
    </w:p>
    <w:p w14:paraId="5E57F09A" w14:textId="3854865E" w:rsidR="00A456B6" w:rsidRDefault="00A456B6" w:rsidP="00AE17BC">
      <w:pPr>
        <w:pStyle w:val="CDBGBODYSTYLE"/>
        <w:spacing w:line="240" w:lineRule="auto"/>
      </w:pPr>
    </w:p>
    <w:p w14:paraId="1DB3A7F5" w14:textId="0AB4BAB7" w:rsidR="00A456B6" w:rsidRPr="00820275" w:rsidRDefault="00A456B6" w:rsidP="00AE17BC">
      <w:pPr>
        <w:rPr>
          <w:shd w:val="clear" w:color="auto" w:fill="FFFFFF"/>
        </w:rPr>
      </w:pPr>
      <w:r w:rsidRPr="00820275">
        <w:rPr>
          <w:rFonts w:cs="Arial"/>
          <w:szCs w:val="22"/>
          <w:shd w:val="clear" w:color="auto" w:fill="FFFFFF"/>
        </w:rPr>
        <w:t xml:space="preserve">The State of Texas has designated TDA as the administrator of HUD’s non-entitlement CDBG program. TDA occasionally consults with regional HUD </w:t>
      </w:r>
      <w:r w:rsidRPr="00820275">
        <w:rPr>
          <w:rFonts w:cs="Arial"/>
          <w:shd w:val="clear" w:color="auto" w:fill="FFFFFF"/>
        </w:rPr>
        <w:t xml:space="preserve">environmental specialists </w:t>
      </w:r>
      <w:r w:rsidRPr="00820275">
        <w:rPr>
          <w:rFonts w:cs="Arial"/>
          <w:szCs w:val="22"/>
          <w:shd w:val="clear" w:color="auto" w:fill="FFFFFF"/>
        </w:rPr>
        <w:t>to ensure consistency with federal policy requirements.  However, TDA’s interpretation of policy may be more stringent and will be enforced in accordance with the State’s regulatory authority to administer the TxCDBG Program.</w:t>
      </w:r>
    </w:p>
    <w:p w14:paraId="0EE53317" w14:textId="77777777" w:rsidR="006667B2" w:rsidRPr="001768E6" w:rsidRDefault="006667B2" w:rsidP="00AE17BC">
      <w:pPr>
        <w:rPr>
          <w:rFonts w:cs="Arial"/>
          <w:bCs/>
          <w:szCs w:val="22"/>
        </w:rPr>
      </w:pPr>
    </w:p>
    <w:p w14:paraId="09E5A62B" w14:textId="576B9A83" w:rsidR="006667B2" w:rsidRDefault="006667B2" w:rsidP="00AE17BC">
      <w:pPr>
        <w:pStyle w:val="CDBGBODYSTYLE"/>
        <w:spacing w:line="240" w:lineRule="auto"/>
      </w:pPr>
      <w:r w:rsidRPr="001768E6">
        <w:t xml:space="preserve">HUD </w:t>
      </w:r>
      <w:r w:rsidR="00372E88">
        <w:t xml:space="preserve">regulations and </w:t>
      </w:r>
      <w:r w:rsidRPr="001768E6">
        <w:t xml:space="preserve">guidance use the term Responsible Entity (RE) to refer to the unit of </w:t>
      </w:r>
      <w:r w:rsidR="001E60FD">
        <w:t xml:space="preserve">general local </w:t>
      </w:r>
      <w:r w:rsidRPr="001768E6">
        <w:t>government responsible for meeting environmental review requirements—the Grant Recipient</w:t>
      </w:r>
      <w:r>
        <w:t xml:space="preserve"> is the RE for all TxCDBG projects</w:t>
      </w:r>
      <w:r w:rsidRPr="001768E6">
        <w:t xml:space="preserve">. This means that the Grant Recipient is responsible for completing the review, with or without assistance from a third party, and certifying the results. When the </w:t>
      </w:r>
      <w:r>
        <w:t>c</w:t>
      </w:r>
      <w:r w:rsidRPr="001768E6">
        <w:t>ertifying</w:t>
      </w:r>
      <w:r>
        <w:t xml:space="preserve"> officer signs the documents, </w:t>
      </w:r>
      <w:r w:rsidR="006512F2">
        <w:t>they</w:t>
      </w:r>
      <w:r>
        <w:t xml:space="preserve"> certif</w:t>
      </w:r>
      <w:r w:rsidR="006512F2">
        <w:t>y</w:t>
      </w:r>
      <w:r>
        <w:t xml:space="preserve"> that not only has the project been found to have, or not have, significant impacts on the environment, but also that the required process was completed to reach this finding.</w:t>
      </w:r>
    </w:p>
    <w:p w14:paraId="4A24648F" w14:textId="77777777" w:rsidR="006667B2" w:rsidRDefault="006667B2" w:rsidP="00AE17BC">
      <w:pPr>
        <w:pStyle w:val="CDBGBODYSTYLE"/>
        <w:spacing w:line="240" w:lineRule="auto"/>
      </w:pPr>
    </w:p>
    <w:p w14:paraId="7132B0D7" w14:textId="48D3FED8" w:rsidR="006667B2" w:rsidRPr="00800ED2" w:rsidRDefault="006667B2" w:rsidP="00AE17BC">
      <w:pPr>
        <w:pStyle w:val="CDBGBODYSTYLE"/>
        <w:spacing w:line="240" w:lineRule="auto"/>
      </w:pPr>
      <w:r w:rsidRPr="001768E6">
        <w:t xml:space="preserve">The </w:t>
      </w:r>
      <w:r>
        <w:t>c</w:t>
      </w:r>
      <w:r w:rsidRPr="001768E6">
        <w:t xml:space="preserve">ertifying </w:t>
      </w:r>
      <w:r>
        <w:t>o</w:t>
      </w:r>
      <w:r w:rsidRPr="001768E6">
        <w:t>fficer is the chief elected official, chief executive official, or other official designated by formal resolution of the governing body authorizing the signatories either by job title or name. The certifying officer must have the authority to assume legal responsibility for certifying that all environmental requirements have been followed. This function may not be assumed by administering agencies or consultants.</w:t>
      </w:r>
      <w:r>
        <w:t xml:space="preserve">  The local governing body may appoint an alternate official to serve as the certifying officer with the understanding that either the primary or alternate will assume the same administrative and legal responsibilities described in 24 CFR §58.13.</w:t>
      </w:r>
      <w:r w:rsidRPr="001768E6">
        <w:t xml:space="preserve"> </w:t>
      </w:r>
      <w:r>
        <w:t xml:space="preserve">Either official authorized by the local government may approve environmental actions or execute required environmental forms </w:t>
      </w:r>
      <w:r w:rsidR="006512F2">
        <w:t>i</w:t>
      </w:r>
      <w:r>
        <w:t>n TDA-GO.</w:t>
      </w:r>
    </w:p>
    <w:p w14:paraId="40B721B7" w14:textId="77777777" w:rsidR="006667B2" w:rsidRPr="00800ED2" w:rsidRDefault="006667B2" w:rsidP="00AE17BC">
      <w:pPr>
        <w:pStyle w:val="CDBGBODYSTYLE"/>
        <w:spacing w:line="240" w:lineRule="auto"/>
      </w:pPr>
    </w:p>
    <w:p w14:paraId="4C953BD4" w14:textId="77777777" w:rsidR="006667B2" w:rsidRPr="00800ED2" w:rsidRDefault="006667B2" w:rsidP="00AE17BC">
      <w:pPr>
        <w:pStyle w:val="CDBGBODYSTYLE"/>
        <w:spacing w:line="240" w:lineRule="auto"/>
      </w:pPr>
      <w:r>
        <w:rPr>
          <w:b/>
          <w:bCs/>
        </w:rPr>
        <w:t>BEST</w:t>
      </w:r>
      <w:r w:rsidRPr="00083802">
        <w:rPr>
          <w:b/>
          <w:bCs/>
        </w:rPr>
        <w:t xml:space="preserve"> </w:t>
      </w:r>
      <w:r>
        <w:rPr>
          <w:b/>
          <w:bCs/>
        </w:rPr>
        <w:t>PRACTICE</w:t>
      </w:r>
      <w:r w:rsidRPr="00800ED2">
        <w:t>:</w:t>
      </w:r>
      <w:r>
        <w:t xml:space="preserve"> </w:t>
      </w:r>
      <w:r w:rsidRPr="00800ED2">
        <w:t xml:space="preserve">The Grant Recipient’s </w:t>
      </w:r>
      <w:r>
        <w:t>c</w:t>
      </w:r>
      <w:r w:rsidRPr="00800ED2">
        <w:t xml:space="preserve">hief </w:t>
      </w:r>
      <w:r>
        <w:t>el</w:t>
      </w:r>
      <w:r w:rsidRPr="00800ED2">
        <w:t xml:space="preserve">ected </w:t>
      </w:r>
      <w:r>
        <w:t>o</w:t>
      </w:r>
      <w:r w:rsidRPr="00800ED2">
        <w:t>fficial (</w:t>
      </w:r>
      <w:r w:rsidRPr="00255A61">
        <w:t>mayor or county judge</w:t>
      </w:r>
      <w:r w:rsidRPr="00800ED2">
        <w:t xml:space="preserve">) signs the environmental review documentation. </w:t>
      </w:r>
    </w:p>
    <w:p w14:paraId="1424FF66" w14:textId="77777777" w:rsidR="006667B2" w:rsidRDefault="006667B2" w:rsidP="00AE17BC">
      <w:pPr>
        <w:pStyle w:val="CDBGBODYSTYLE"/>
        <w:spacing w:line="240" w:lineRule="auto"/>
      </w:pPr>
    </w:p>
    <w:p w14:paraId="6A669530" w14:textId="77777777" w:rsidR="006667B2" w:rsidRPr="00147DB2" w:rsidRDefault="006667B2" w:rsidP="00AE17BC">
      <w:pPr>
        <w:pStyle w:val="CDBGBODYSTYLE"/>
        <w:spacing w:line="240" w:lineRule="auto"/>
        <w:rPr>
          <w:b/>
          <w:bCs/>
        </w:rPr>
      </w:pPr>
      <w:r w:rsidRPr="001768E6">
        <w:t xml:space="preserve">TDA will monitor the Grant Recipient’s compliance with HUD environmental review requirements; </w:t>
      </w:r>
      <w:r w:rsidRPr="00D74102">
        <w:rPr>
          <w:b/>
          <w:bCs/>
        </w:rPr>
        <w:t xml:space="preserve">failure to comply with these requirements will jeopardize the project and could lead to disallowed costs, repayment of funds, </w:t>
      </w:r>
      <w:r w:rsidRPr="006512F2">
        <w:rPr>
          <w:b/>
          <w:bCs/>
        </w:rPr>
        <w:t xml:space="preserve">and suspension from the program for the Grant Recipient and administrators involved with the environmental review process. </w:t>
      </w:r>
    </w:p>
    <w:p w14:paraId="7C7647EC" w14:textId="77777777" w:rsidR="006667B2" w:rsidRPr="006512F2" w:rsidRDefault="006667B2" w:rsidP="00AE17BC"/>
    <w:p w14:paraId="5BC3DB8B" w14:textId="77777777" w:rsidR="006667B2" w:rsidRDefault="006667B2" w:rsidP="00AE17BC">
      <w:pPr>
        <w:rPr>
          <w:rFonts w:cs="Arial"/>
          <w:szCs w:val="22"/>
        </w:rPr>
      </w:pPr>
    </w:p>
    <w:p w14:paraId="31325981" w14:textId="77777777" w:rsidR="007E5785" w:rsidRDefault="007E5785" w:rsidP="00AE17BC">
      <w:pPr>
        <w:rPr>
          <w:rFonts w:cs="Arial"/>
          <w:szCs w:val="22"/>
        </w:rPr>
      </w:pPr>
    </w:p>
    <w:p w14:paraId="6985EB2F" w14:textId="77777777" w:rsidR="007E5785" w:rsidRDefault="007E5785" w:rsidP="00AE17BC">
      <w:pPr>
        <w:rPr>
          <w:rFonts w:cs="Arial"/>
          <w:szCs w:val="22"/>
        </w:rPr>
      </w:pPr>
    </w:p>
    <w:p w14:paraId="71FAF073" w14:textId="77777777" w:rsidR="007E5785" w:rsidRDefault="007E5785" w:rsidP="00AE17BC">
      <w:pPr>
        <w:rPr>
          <w:rFonts w:cs="Arial"/>
          <w:szCs w:val="22"/>
        </w:rPr>
      </w:pPr>
    </w:p>
    <w:p w14:paraId="3DBB6A9B" w14:textId="77777777" w:rsidR="007E5785" w:rsidRPr="00DA20E5" w:rsidRDefault="007E5785" w:rsidP="00AE17BC">
      <w:pPr>
        <w:rPr>
          <w:rFonts w:cs="Arial"/>
          <w:szCs w:val="22"/>
        </w:rPr>
      </w:pPr>
    </w:p>
    <w:p w14:paraId="03CA3BC4" w14:textId="77777777" w:rsidR="006667B2" w:rsidRPr="00C52244" w:rsidRDefault="006667B2" w:rsidP="007D4379">
      <w:pPr>
        <w:pStyle w:val="Heading2"/>
      </w:pPr>
      <w:bookmarkStart w:id="12" w:name="_Toc123110426"/>
      <w:bookmarkStart w:id="13" w:name="_Toc171783641"/>
      <w:r w:rsidRPr="00C52244">
        <w:t>3.0.1 Basis of Environmental Review</w:t>
      </w:r>
      <w:bookmarkEnd w:id="12"/>
      <w:bookmarkEnd w:id="13"/>
    </w:p>
    <w:p w14:paraId="006380A2" w14:textId="77777777" w:rsidR="006667B2" w:rsidRDefault="006667B2" w:rsidP="00AE17BC">
      <w:pPr>
        <w:rPr>
          <w:rFonts w:cs="Arial"/>
          <w:szCs w:val="22"/>
        </w:rPr>
      </w:pPr>
    </w:p>
    <w:p w14:paraId="79C2B456" w14:textId="77777777" w:rsidR="002655B0" w:rsidRDefault="006667B2" w:rsidP="00AE17BC">
      <w:pPr>
        <w:pStyle w:val="CDBGBODYSTYLE"/>
        <w:spacing w:line="240" w:lineRule="auto"/>
      </w:pPr>
      <w:r w:rsidRPr="00DA20E5">
        <w:t xml:space="preserve">A key </w:t>
      </w:r>
      <w:r>
        <w:t>concept</w:t>
      </w:r>
      <w:r w:rsidRPr="00DA20E5">
        <w:t xml:space="preserve"> in performing an environmental review is </w:t>
      </w:r>
      <w:r>
        <w:t xml:space="preserve">to </w:t>
      </w:r>
      <w:r w:rsidRPr="00DA20E5">
        <w:t xml:space="preserve">consider the </w:t>
      </w:r>
      <w:r>
        <w:t>impact</w:t>
      </w:r>
      <w:r w:rsidRPr="00DA20E5">
        <w:t xml:space="preserve"> of proposed project</w:t>
      </w:r>
      <w:r>
        <w:t xml:space="preserve"> activities on the prospective project site(s)</w:t>
      </w:r>
      <w:r w:rsidRPr="00DA20E5">
        <w:t xml:space="preserve">. </w:t>
      </w:r>
      <w:r>
        <w:t xml:space="preserve">Likewise, an environmental review must assess any potential adverse impact that the environment in a planned site location may have on the project itself.  HUD regulations require a Grant Recipient to </w:t>
      </w:r>
      <w:r w:rsidRPr="001D684A">
        <w:t xml:space="preserve">group together and evaluate as a single </w:t>
      </w:r>
      <w:r>
        <w:t>review</w:t>
      </w:r>
      <w:r w:rsidRPr="001D684A">
        <w:t xml:space="preserve"> all individual activities which are related either on a geographical or functional basis</w:t>
      </w:r>
      <w:r>
        <w:t xml:space="preserve"> </w:t>
      </w:r>
      <w:r w:rsidRPr="001D684A">
        <w:t>or are logical parts of a composite of contemplated actions</w:t>
      </w:r>
      <w:r>
        <w:t xml:space="preserve">. </w:t>
      </w:r>
    </w:p>
    <w:p w14:paraId="071E8E9A" w14:textId="77777777" w:rsidR="006512F2" w:rsidRPr="00147DB2" w:rsidRDefault="006512F2" w:rsidP="00AE17BC"/>
    <w:p w14:paraId="044A83B3" w14:textId="580688F0" w:rsidR="006667B2" w:rsidRDefault="006667B2" w:rsidP="00AE17BC">
      <w:pPr>
        <w:pStyle w:val="CDBGBODYSTYLE"/>
        <w:spacing w:line="240" w:lineRule="auto"/>
      </w:pPr>
      <w:r w:rsidRPr="00AF6EB0">
        <w:rPr>
          <w:b/>
          <w:bCs/>
        </w:rPr>
        <w:t>EXAMPLE</w:t>
      </w:r>
      <w:r>
        <w:t>: I</w:t>
      </w:r>
      <w:r w:rsidRPr="00DA20E5">
        <w:t>f TxCDBG funds are being used to acquire a site for a new construction project, the ultimate effect of the project is not solely the acquisition of the site, but also the construction of the project, including</w:t>
      </w:r>
      <w:r>
        <w:t xml:space="preserve"> the installation of any associated</w:t>
      </w:r>
      <w:r w:rsidRPr="00DA20E5">
        <w:t xml:space="preserve"> infrastructure. </w:t>
      </w:r>
      <w:r w:rsidRPr="00122411">
        <w:t>Therefore, the environmental review must address the impacts of both the TxCDBG</w:t>
      </w:r>
      <w:r w:rsidR="006512F2">
        <w:t xml:space="preserve"> </w:t>
      </w:r>
      <w:r w:rsidRPr="00122411">
        <w:t>funded land acquisition and the privately financed construction of the project.</w:t>
      </w:r>
      <w:r>
        <w:t xml:space="preserve"> The review must address the actual project site and the surrounding area.</w:t>
      </w:r>
    </w:p>
    <w:p w14:paraId="39AB0A06" w14:textId="77777777" w:rsidR="006667B2" w:rsidRDefault="006667B2" w:rsidP="00AE17BC">
      <w:pPr>
        <w:pStyle w:val="CDBGBODYSTYLE"/>
        <w:spacing w:line="240" w:lineRule="auto"/>
      </w:pPr>
    </w:p>
    <w:p w14:paraId="71AC5F88" w14:textId="77777777" w:rsidR="006667B2" w:rsidRDefault="006667B2" w:rsidP="00AE17BC">
      <w:pPr>
        <w:pStyle w:val="CDBGBODYSTYLE"/>
        <w:spacing w:line="240" w:lineRule="auto"/>
      </w:pPr>
      <w:r>
        <w:t>The basics of an environmental review include, but are not limited to the following questions:</w:t>
      </w:r>
    </w:p>
    <w:p w14:paraId="7CD9C5CF" w14:textId="77777777" w:rsidR="006667B2" w:rsidRDefault="006667B2" w:rsidP="00AE17BC">
      <w:pPr>
        <w:pStyle w:val="CDBGBULLETSTYLE"/>
        <w:spacing w:line="240" w:lineRule="auto"/>
      </w:pPr>
      <w:r>
        <w:t>What is there currently?</w:t>
      </w:r>
    </w:p>
    <w:p w14:paraId="49869B7F" w14:textId="77777777" w:rsidR="006667B2" w:rsidRDefault="006667B2" w:rsidP="00AE17BC">
      <w:pPr>
        <w:pStyle w:val="CDBGBULLETSTYLE"/>
        <w:spacing w:line="240" w:lineRule="auto"/>
      </w:pPr>
      <w:r>
        <w:t>What will be there once the project is completed?</w:t>
      </w:r>
    </w:p>
    <w:p w14:paraId="4C08365F" w14:textId="77777777" w:rsidR="006667B2" w:rsidRDefault="006667B2" w:rsidP="00AE17BC">
      <w:pPr>
        <w:pStyle w:val="CDBGBULLETSTYLE"/>
        <w:spacing w:line="240" w:lineRule="auto"/>
      </w:pPr>
      <w:r>
        <w:t>How will this be accomplished?</w:t>
      </w:r>
    </w:p>
    <w:p w14:paraId="721AAF2E" w14:textId="77777777" w:rsidR="006667B2" w:rsidRDefault="006667B2" w:rsidP="00AE17BC">
      <w:pPr>
        <w:pStyle w:val="CDBGBULLETSTYLE"/>
        <w:numPr>
          <w:ilvl w:val="0"/>
          <w:numId w:val="0"/>
        </w:numPr>
        <w:spacing w:line="240" w:lineRule="auto"/>
        <w:ind w:left="810"/>
      </w:pPr>
    </w:p>
    <w:p w14:paraId="04BF5B4B" w14:textId="77777777" w:rsidR="006667B2" w:rsidRPr="00DA20E5" w:rsidRDefault="006667B2" w:rsidP="00AE17BC">
      <w:pPr>
        <w:pStyle w:val="CDBGBULLETSTYLE"/>
        <w:numPr>
          <w:ilvl w:val="0"/>
          <w:numId w:val="0"/>
        </w:numPr>
        <w:spacing w:line="240" w:lineRule="auto"/>
        <w:ind w:left="810"/>
      </w:pPr>
    </w:p>
    <w:p w14:paraId="3C1E0F28" w14:textId="485DD01A" w:rsidR="006667B2" w:rsidRPr="0096321E" w:rsidRDefault="006667B2" w:rsidP="001F52AB">
      <w:pPr>
        <w:pStyle w:val="Heading2"/>
      </w:pPr>
      <w:bookmarkStart w:id="14" w:name="_Toc46826456"/>
      <w:bookmarkStart w:id="15" w:name="_Toc123110427"/>
      <w:bookmarkStart w:id="16" w:name="_Toc171783642"/>
      <w:r w:rsidRPr="0096321E">
        <w:t xml:space="preserve">3.0.2 Timing of the Environmental Review </w:t>
      </w:r>
      <w:r>
        <w:t>and</w:t>
      </w:r>
      <w:r w:rsidRPr="0096321E">
        <w:t xml:space="preserve"> Choice</w:t>
      </w:r>
      <w:r>
        <w:t>-</w:t>
      </w:r>
      <w:r w:rsidR="005503DB">
        <w:t>L</w:t>
      </w:r>
      <w:r w:rsidRPr="0096321E">
        <w:t>imiting Actions</w:t>
      </w:r>
      <w:bookmarkEnd w:id="14"/>
      <w:bookmarkEnd w:id="15"/>
      <w:bookmarkEnd w:id="16"/>
    </w:p>
    <w:p w14:paraId="6838533C" w14:textId="77777777" w:rsidR="006667B2" w:rsidRPr="0096321E" w:rsidRDefault="006667B2" w:rsidP="00AE17BC">
      <w:pPr>
        <w:rPr>
          <w:lang w:val="en"/>
        </w:rPr>
      </w:pPr>
    </w:p>
    <w:p w14:paraId="53DE1F9A" w14:textId="5F47D039" w:rsidR="006667B2" w:rsidRPr="0096321E" w:rsidRDefault="006667B2" w:rsidP="00AE17BC">
      <w:pPr>
        <w:pStyle w:val="CDBGBODYSTYLE"/>
        <w:spacing w:line="240" w:lineRule="auto"/>
        <w:rPr>
          <w:lang w:val="en"/>
        </w:rPr>
      </w:pPr>
      <w:r w:rsidRPr="00D46706">
        <w:rPr>
          <w:b/>
          <w:bCs/>
          <w:lang w:val="en"/>
        </w:rPr>
        <w:t xml:space="preserve">An environmental review must be </w:t>
      </w:r>
      <w:proofErr w:type="gramStart"/>
      <w:r w:rsidRPr="00D46706">
        <w:rPr>
          <w:b/>
          <w:bCs/>
          <w:lang w:val="en"/>
        </w:rPr>
        <w:t>performed</w:t>
      </w:r>
      <w:proofErr w:type="gramEnd"/>
      <w:r w:rsidR="00A54685">
        <w:rPr>
          <w:b/>
          <w:bCs/>
          <w:lang w:val="en"/>
        </w:rPr>
        <w:t xml:space="preserve"> and the State’s release of funds granted</w:t>
      </w:r>
      <w:r w:rsidRPr="00D46706">
        <w:rPr>
          <w:b/>
          <w:bCs/>
          <w:lang w:val="en"/>
        </w:rPr>
        <w:t xml:space="preserve"> before any </w:t>
      </w:r>
      <w:r>
        <w:rPr>
          <w:b/>
          <w:bCs/>
          <w:lang w:val="en"/>
        </w:rPr>
        <w:t xml:space="preserve">construction </w:t>
      </w:r>
      <w:r w:rsidRPr="00D46706">
        <w:rPr>
          <w:b/>
          <w:bCs/>
          <w:lang w:val="en"/>
        </w:rPr>
        <w:t>funds</w:t>
      </w:r>
      <w:r>
        <w:rPr>
          <w:b/>
          <w:bCs/>
          <w:lang w:val="en"/>
        </w:rPr>
        <w:t>—</w:t>
      </w:r>
      <w:r w:rsidRPr="00D46706">
        <w:rPr>
          <w:b/>
          <w:bCs/>
          <w:lang w:val="en"/>
        </w:rPr>
        <w:t>regardless of source</w:t>
      </w:r>
      <w:r>
        <w:rPr>
          <w:b/>
          <w:bCs/>
          <w:lang w:val="en"/>
        </w:rPr>
        <w:t>—</w:t>
      </w:r>
      <w:r w:rsidRPr="00D46706">
        <w:rPr>
          <w:b/>
          <w:bCs/>
          <w:lang w:val="en"/>
        </w:rPr>
        <w:t xml:space="preserve">are committed </w:t>
      </w:r>
      <w:r>
        <w:rPr>
          <w:b/>
          <w:bCs/>
          <w:lang w:val="en"/>
        </w:rPr>
        <w:t>to</w:t>
      </w:r>
      <w:r w:rsidRPr="00D46706">
        <w:rPr>
          <w:b/>
          <w:bCs/>
          <w:lang w:val="en"/>
        </w:rPr>
        <w:t xml:space="preserve"> an activity or a project.  No activity or project may be undertaken if the activity or project would have an adverse environmental impact or limit the choice of reasonable alternatives.</w:t>
      </w:r>
      <w:r w:rsidRPr="0096321E">
        <w:rPr>
          <w:lang w:val="en"/>
        </w:rPr>
        <w:t xml:space="preserve"> This prohibition on “choice-limiting actions” prohibits </w:t>
      </w:r>
      <w:r w:rsidR="00A54685">
        <w:rPr>
          <w:lang w:val="en"/>
        </w:rPr>
        <w:t xml:space="preserve">acquisition of real property and </w:t>
      </w:r>
      <w:r w:rsidRPr="0096321E">
        <w:rPr>
          <w:lang w:val="en"/>
        </w:rPr>
        <w:t>physical activity</w:t>
      </w:r>
      <w:r>
        <w:rPr>
          <w:lang w:val="en"/>
        </w:rPr>
        <w:t>—</w:t>
      </w:r>
      <w:r w:rsidRPr="0096321E">
        <w:rPr>
          <w:lang w:val="en"/>
        </w:rPr>
        <w:t xml:space="preserve">including </w:t>
      </w:r>
      <w:r w:rsidR="00A54685">
        <w:rPr>
          <w:lang w:val="en"/>
        </w:rPr>
        <w:t>demolition</w:t>
      </w:r>
      <w:r w:rsidRPr="0096321E">
        <w:rPr>
          <w:lang w:val="en"/>
        </w:rPr>
        <w:t>, rehabilitation, and construction</w:t>
      </w:r>
      <w:r>
        <w:rPr>
          <w:lang w:val="en"/>
        </w:rPr>
        <w:t>—</w:t>
      </w:r>
      <w:r w:rsidRPr="0096321E">
        <w:rPr>
          <w:lang w:val="en"/>
        </w:rPr>
        <w:t>as well as contracting for</w:t>
      </w:r>
      <w:r>
        <w:rPr>
          <w:lang w:val="en"/>
        </w:rPr>
        <w:t>,</w:t>
      </w:r>
      <w:r w:rsidRPr="0096321E">
        <w:rPr>
          <w:lang w:val="en"/>
        </w:rPr>
        <w:t xml:space="preserve"> or committing to any of these actions. </w:t>
      </w:r>
      <w:r w:rsidR="005503DB" w:rsidRPr="00CC2E2E">
        <w:rPr>
          <w:color w:val="2F5496" w:themeColor="accent1" w:themeShade="BF"/>
          <w:lang w:val="en"/>
        </w:rPr>
        <w:t xml:space="preserve">Grant Recipients are responsible for clarifying with TDA which activities may be performed prior to receiving the AUGF and for </w:t>
      </w:r>
      <w:r w:rsidR="00A047D5" w:rsidRPr="00CC2E2E">
        <w:rPr>
          <w:rStyle w:val="ui-provider"/>
          <w:color w:val="2F5496" w:themeColor="accent1" w:themeShade="BF"/>
        </w:rPr>
        <w:t>immediately self-reporting to TDA suspected Choice Limiting Actions should they occur before the State's release of funds.</w:t>
      </w:r>
    </w:p>
    <w:p w14:paraId="0B6F4BFD" w14:textId="77777777" w:rsidR="006667B2" w:rsidRDefault="006667B2" w:rsidP="00AE17BC">
      <w:pPr>
        <w:pStyle w:val="CDBGBODYSTYLE"/>
        <w:spacing w:line="240" w:lineRule="auto"/>
        <w:rPr>
          <w:sz w:val="21"/>
          <w:szCs w:val="21"/>
          <w:lang w:val="en"/>
        </w:rPr>
      </w:pPr>
    </w:p>
    <w:p w14:paraId="47C2D1BF" w14:textId="728078BB" w:rsidR="006667B2" w:rsidRPr="00DA20E5" w:rsidRDefault="006667B2" w:rsidP="00AE17BC">
      <w:pPr>
        <w:pStyle w:val="CDBGBODYSTYLE"/>
        <w:spacing w:line="240" w:lineRule="auto"/>
      </w:pPr>
      <w:r>
        <w:t>Therefore, Grant Recipients</w:t>
      </w:r>
      <w:r w:rsidRPr="00DA20E5">
        <w:t xml:space="preserve"> are required to complete their environmental reviews</w:t>
      </w:r>
      <w:r>
        <w:t>, R</w:t>
      </w:r>
      <w:r w:rsidRPr="00DA20E5">
        <w:t xml:space="preserve">equests for </w:t>
      </w:r>
      <w:r>
        <w:t>R</w:t>
      </w:r>
      <w:r w:rsidRPr="00DA20E5">
        <w:t xml:space="preserve">elease of </w:t>
      </w:r>
      <w:r>
        <w:t>F</w:t>
      </w:r>
      <w:r w:rsidRPr="00DA20E5">
        <w:t>unds</w:t>
      </w:r>
      <w:r>
        <w:t>,</w:t>
      </w:r>
      <w:r w:rsidRPr="00DA20E5">
        <w:t xml:space="preserve"> </w:t>
      </w:r>
      <w:r>
        <w:t xml:space="preserve">and clearance-related paperwork </w:t>
      </w:r>
      <w:r w:rsidRPr="003D5750">
        <w:rPr>
          <w:u w:val="single"/>
        </w:rPr>
        <w:t>before</w:t>
      </w:r>
      <w:r w:rsidR="0010468B">
        <w:rPr>
          <w:u w:val="single"/>
        </w:rPr>
        <w:t>:</w:t>
      </w:r>
    </w:p>
    <w:p w14:paraId="17F56601" w14:textId="0BB531DD" w:rsidR="006667B2" w:rsidRPr="00DA20E5" w:rsidRDefault="0010468B" w:rsidP="00AE17BC">
      <w:pPr>
        <w:pStyle w:val="CDBGBULLETSTYLE"/>
        <w:spacing w:line="240" w:lineRule="auto"/>
      </w:pPr>
      <w:r>
        <w:t>A</w:t>
      </w:r>
      <w:r w:rsidR="006667B2" w:rsidRPr="00DA20E5">
        <w:t>ny commitment of TxCDBG funds for activities</w:t>
      </w:r>
      <w:r w:rsidR="006667B2">
        <w:t xml:space="preserve"> not including administration</w:t>
      </w:r>
      <w:r w:rsidR="003D4020">
        <w:t xml:space="preserve"> services or </w:t>
      </w:r>
      <w:r w:rsidR="006667B2">
        <w:t>engineering</w:t>
      </w:r>
      <w:r w:rsidR="003D4020">
        <w:t xml:space="preserve"> services</w:t>
      </w:r>
      <w:r w:rsidR="006667B2">
        <w:t>;</w:t>
      </w:r>
      <w:r w:rsidR="006667B2" w:rsidRPr="00DA20E5">
        <w:t xml:space="preserve"> and</w:t>
      </w:r>
      <w:r w:rsidR="006667B2">
        <w:rPr>
          <w:i/>
        </w:rPr>
        <w:t xml:space="preserve">   </w:t>
      </w:r>
    </w:p>
    <w:p w14:paraId="2F7CA55A" w14:textId="238D6B2F" w:rsidR="0029020A" w:rsidRPr="00147DB2" w:rsidRDefault="0010468B" w:rsidP="00AE17BC">
      <w:pPr>
        <w:pStyle w:val="CDBGBULLETSTYLE"/>
        <w:spacing w:line="240" w:lineRule="auto"/>
      </w:pPr>
      <w:r>
        <w:t>A</w:t>
      </w:r>
      <w:r w:rsidR="006667B2" w:rsidRPr="00556E39">
        <w:t xml:space="preserve">ny commitment of non-TxCDBG funds </w:t>
      </w:r>
      <w:r w:rsidR="006667B2">
        <w:t xml:space="preserve">or before undertaking activities </w:t>
      </w:r>
      <w:r w:rsidR="006667B2" w:rsidRPr="00556E39">
        <w:t xml:space="preserve">that would have an adverse environmental impact or </w:t>
      </w:r>
      <w:r w:rsidR="006667B2">
        <w:t>limit the choice of alternatives.</w:t>
      </w:r>
      <w:r w:rsidR="0029020A" w:rsidRPr="0029020A">
        <w:rPr>
          <w:rFonts w:ascii="Segoe UI" w:hAnsi="Segoe UI" w:cs="Segoe UI"/>
          <w:color w:val="242424"/>
          <w:shd w:val="clear" w:color="auto" w:fill="FFFFFF"/>
        </w:rPr>
        <w:t xml:space="preserve"> </w:t>
      </w:r>
    </w:p>
    <w:p w14:paraId="4D21D809" w14:textId="77777777" w:rsidR="0029020A" w:rsidRPr="00147DB2" w:rsidRDefault="0029020A" w:rsidP="00AE17BC">
      <w:pPr>
        <w:pStyle w:val="CDBGBULLETSTYLE"/>
        <w:numPr>
          <w:ilvl w:val="0"/>
          <w:numId w:val="0"/>
        </w:numPr>
        <w:spacing w:line="240" w:lineRule="auto"/>
        <w:ind w:left="450"/>
      </w:pPr>
    </w:p>
    <w:p w14:paraId="38B8610E" w14:textId="3823327D" w:rsidR="0029020A" w:rsidRPr="00820275" w:rsidRDefault="0029020A" w:rsidP="00AE17BC">
      <w:pPr>
        <w:pStyle w:val="CDBGBULLETSTYLE"/>
        <w:numPr>
          <w:ilvl w:val="0"/>
          <w:numId w:val="0"/>
        </w:numPr>
        <w:spacing w:line="240" w:lineRule="auto"/>
        <w:jc w:val="both"/>
      </w:pPr>
      <w:r w:rsidRPr="00820275">
        <w:rPr>
          <w:shd w:val="clear" w:color="auto" w:fill="FFFFFF"/>
        </w:rPr>
        <w:t>For the purposes of the environmental review process, “commitment of funds” includes the execution of a legally binding agreement (such as conveyance of interest in property or construction contract).</w:t>
      </w:r>
    </w:p>
    <w:p w14:paraId="6E6D64BD" w14:textId="77777777" w:rsidR="006667B2" w:rsidRDefault="006667B2" w:rsidP="00AE17BC"/>
    <w:p w14:paraId="28CB6920" w14:textId="5B2D1AE9" w:rsidR="005503DB" w:rsidRPr="00CC2E2E" w:rsidRDefault="005503DB" w:rsidP="00A047D5">
      <w:pPr>
        <w:pStyle w:val="CDBGBODYSTYLE"/>
        <w:spacing w:line="240" w:lineRule="auto"/>
        <w:rPr>
          <w:rStyle w:val="ui-provider"/>
          <w:color w:val="2F5496" w:themeColor="accent1" w:themeShade="BF"/>
        </w:rPr>
      </w:pPr>
      <w:r w:rsidRPr="00CC2E2E">
        <w:rPr>
          <w:b/>
          <w:bCs/>
          <w:color w:val="2F5496" w:themeColor="accent1" w:themeShade="BF"/>
        </w:rPr>
        <w:t>SPECIAL CASE: 24 CFR 58.34 (a) (10)</w:t>
      </w:r>
      <w:r w:rsidRPr="00CC2E2E">
        <w:rPr>
          <w:color w:val="2F5496" w:themeColor="accent1" w:themeShade="BF"/>
        </w:rPr>
        <w:t xml:space="preserve"> – </w:t>
      </w:r>
      <w:r w:rsidR="00A047D5" w:rsidRPr="00CC2E2E">
        <w:rPr>
          <w:rStyle w:val="ui-provider"/>
          <w:color w:val="2F5496" w:themeColor="accent1" w:themeShade="BF"/>
        </w:rPr>
        <w:t xml:space="preserve">It is the responsibility of the Grant Recipient to fully document and verify with TDA that an activity and/or circumstance fulfills the requirements of the 58.34(a)(10) exemption </w:t>
      </w:r>
      <w:r w:rsidR="00A047D5" w:rsidRPr="00CC2E2E">
        <w:rPr>
          <w:rStyle w:val="ui-provider"/>
          <w:b/>
          <w:bCs/>
          <w:color w:val="2F5496" w:themeColor="accent1" w:themeShade="BF"/>
        </w:rPr>
        <w:t>prior</w:t>
      </w:r>
      <w:r w:rsidR="00A047D5" w:rsidRPr="00CC2E2E">
        <w:rPr>
          <w:rStyle w:val="ui-provider"/>
          <w:color w:val="2F5496" w:themeColor="accent1" w:themeShade="BF"/>
        </w:rPr>
        <w:t xml:space="preserve"> to committing any potential choice limiting actions.  TDA considers an imminent threat to public safety to be one in which immediate intervention is necessary.</w:t>
      </w:r>
      <w:r w:rsidR="00F423C9" w:rsidRPr="00CC2E2E">
        <w:rPr>
          <w:rStyle w:val="ui-provider"/>
          <w:color w:val="2F5496" w:themeColor="accent1" w:themeShade="BF"/>
        </w:rPr>
        <w:t xml:space="preserve">  </w:t>
      </w:r>
      <w:bookmarkStart w:id="17" w:name="_Hlk168565176"/>
      <w:r w:rsidR="00F423C9" w:rsidRPr="00CC2E2E">
        <w:rPr>
          <w:rStyle w:val="ui-provider"/>
          <w:color w:val="2F5496" w:themeColor="accent1" w:themeShade="BF"/>
        </w:rPr>
        <w:t>TDA will not approve use of this level of review after a choice limiting action has occurred</w:t>
      </w:r>
      <w:r w:rsidR="00CC2E2E" w:rsidRPr="00CC2E2E">
        <w:rPr>
          <w:rStyle w:val="ui-provider"/>
          <w:color w:val="2F5496" w:themeColor="accent1" w:themeShade="BF"/>
        </w:rPr>
        <w:t>.</w:t>
      </w:r>
    </w:p>
    <w:bookmarkEnd w:id="17"/>
    <w:p w14:paraId="12BDA411" w14:textId="77777777" w:rsidR="00A047D5" w:rsidRDefault="00A047D5" w:rsidP="00A047D5">
      <w:pPr>
        <w:pStyle w:val="CDBGBODYSTYLE"/>
        <w:spacing w:line="240" w:lineRule="auto"/>
        <w:rPr>
          <w:b/>
          <w:bCs/>
        </w:rPr>
      </w:pPr>
    </w:p>
    <w:p w14:paraId="75BE9A1F" w14:textId="540A4379" w:rsidR="006667B2" w:rsidRPr="00232AB9" w:rsidRDefault="006667B2" w:rsidP="00AE17BC">
      <w:pPr>
        <w:pStyle w:val="CDBGBODYSTYLE"/>
        <w:spacing w:line="240" w:lineRule="auto"/>
        <w:jc w:val="left"/>
      </w:pPr>
      <w:r>
        <w:rPr>
          <w:b/>
          <w:bCs/>
        </w:rPr>
        <w:t>SPECIAL CASE</w:t>
      </w:r>
      <w:r w:rsidRPr="009F3B57">
        <w:rPr>
          <w:b/>
          <w:bCs/>
        </w:rPr>
        <w:t>: Project in Progress</w:t>
      </w:r>
      <w:r>
        <w:t xml:space="preserve"> – </w:t>
      </w:r>
      <w:r w:rsidRPr="0096321E">
        <w:t xml:space="preserve">A party may begin a project in good faith as a private project and is not precluded from later deciding to apply for federal assistance. If the choice-limiting action was undertaken prior to the resolution authorizing submittal of the TxCDBG application, the activity that was started is </w:t>
      </w:r>
      <w:r w:rsidRPr="0096321E">
        <w:rPr>
          <w:b/>
        </w:rPr>
        <w:t xml:space="preserve">not </w:t>
      </w:r>
      <w:r w:rsidRPr="0096321E">
        <w:t>required to be suspended.</w:t>
      </w:r>
      <w:r>
        <w:t xml:space="preserve"> </w:t>
      </w:r>
      <w:r w:rsidRPr="0096321E">
        <w:t xml:space="preserve">However, when a unit of local government applies for CDBG funding, it must cease </w:t>
      </w:r>
      <w:r w:rsidRPr="004432E9">
        <w:rPr>
          <w:b/>
          <w:bCs/>
          <w:i/>
          <w:iCs/>
        </w:rPr>
        <w:t>further</w:t>
      </w:r>
      <w:r w:rsidRPr="004432E9">
        <w:rPr>
          <w:b/>
          <w:bCs/>
        </w:rPr>
        <w:t xml:space="preserve"> choice-limiting actions, </w:t>
      </w:r>
      <w:r w:rsidRPr="004432E9">
        <w:rPr>
          <w:bCs/>
        </w:rPr>
        <w:t>including additional commitment of funds,</w:t>
      </w:r>
      <w:r w:rsidRPr="004432E9">
        <w:rPr>
          <w:b/>
          <w:bCs/>
        </w:rPr>
        <w:t xml:space="preserve"> </w:t>
      </w:r>
      <w:r w:rsidRPr="004432E9">
        <w:rPr>
          <w:bCs/>
        </w:rPr>
        <w:t>on the project until the environmental review process is complete</w:t>
      </w:r>
      <w:r w:rsidRPr="008A220A">
        <w:t xml:space="preserve">. </w:t>
      </w:r>
    </w:p>
    <w:p w14:paraId="2C2B9405" w14:textId="77777777" w:rsidR="006667B2" w:rsidRPr="00232AB9" w:rsidRDefault="006667B2" w:rsidP="00AE17BC"/>
    <w:p w14:paraId="1EDA47EE" w14:textId="6213BA27" w:rsidR="006667B2" w:rsidRDefault="006667B2" w:rsidP="00AE17BC">
      <w:pPr>
        <w:pStyle w:val="1CDGBbodyArial11"/>
        <w:spacing w:line="240" w:lineRule="auto"/>
      </w:pPr>
      <w:r>
        <w:rPr>
          <w:b/>
          <w:bCs/>
        </w:rPr>
        <w:t>SPECIAL CASE</w:t>
      </w:r>
      <w:r w:rsidRPr="009F3B57">
        <w:rPr>
          <w:b/>
          <w:bCs/>
        </w:rPr>
        <w:t>: Option Contract</w:t>
      </w:r>
      <w:r>
        <w:t xml:space="preserve"> – </w:t>
      </w:r>
      <w:r w:rsidRPr="0031374B">
        <w:rPr>
          <w:szCs w:val="22"/>
        </w:rPr>
        <w:t xml:space="preserve">A contract to purchase or lease property for a </w:t>
      </w:r>
      <w:r>
        <w:rPr>
          <w:szCs w:val="22"/>
        </w:rPr>
        <w:t>TxCDBG</w:t>
      </w:r>
      <w:r w:rsidRPr="0031374B">
        <w:rPr>
          <w:szCs w:val="22"/>
        </w:rPr>
        <w:t xml:space="preserve"> project before the environmental review is completed is considered a commitment of funds and a choice-limiting action and must be avoided until after the environmental review process is completed and TDA has issued a release of funds</w:t>
      </w:r>
      <w:r w:rsidR="00A244E5">
        <w:rPr>
          <w:szCs w:val="22"/>
        </w:rPr>
        <w:t>.</w:t>
      </w:r>
      <w:r w:rsidR="00D67B91">
        <w:rPr>
          <w:rStyle w:val="FootnoteReference"/>
          <w:szCs w:val="22"/>
        </w:rPr>
        <w:footnoteReference w:id="1"/>
      </w:r>
      <w:r>
        <w:t xml:space="preserve"> </w:t>
      </w:r>
      <w:bookmarkStart w:id="19" w:name="_Hlk59634684"/>
      <w:r>
        <w:t xml:space="preserve">See </w:t>
      </w:r>
      <w:r w:rsidRPr="00820275">
        <w:rPr>
          <w:i/>
          <w:iCs/>
        </w:rPr>
        <w:t>Chapter 6</w:t>
      </w:r>
      <w:r>
        <w:t xml:space="preserve"> </w:t>
      </w:r>
      <w:r w:rsidRPr="00AC24A5">
        <w:rPr>
          <w:i/>
          <w:iCs/>
        </w:rPr>
        <w:t>Acquisition of Real Property</w:t>
      </w:r>
      <w:r>
        <w:t xml:space="preserve"> for details on acceptable option contracts.</w:t>
      </w:r>
      <w:r w:rsidR="0010468B">
        <w:t xml:space="preserve"> </w:t>
      </w:r>
    </w:p>
    <w:p w14:paraId="076A760B" w14:textId="1C282680" w:rsidR="00600EC9" w:rsidRPr="00820275" w:rsidRDefault="00600EC9" w:rsidP="00AE17BC"/>
    <w:p w14:paraId="21ED4B03" w14:textId="2F9C7FA1" w:rsidR="00C52244" w:rsidRPr="00820275" w:rsidRDefault="00A510B5" w:rsidP="00AE17BC">
      <w:r w:rsidRPr="00820275">
        <w:rPr>
          <w:b/>
          <w:bCs/>
        </w:rPr>
        <w:t xml:space="preserve">SPECIAL CASE: </w:t>
      </w:r>
      <w:r w:rsidR="00600EC9" w:rsidRPr="00820275">
        <w:rPr>
          <w:b/>
          <w:bCs/>
        </w:rPr>
        <w:t>Supplemental Funding</w:t>
      </w:r>
      <w:r w:rsidRPr="00820275">
        <w:t xml:space="preserve"> </w:t>
      </w:r>
      <w:r w:rsidR="00820275">
        <w:t xml:space="preserve">– </w:t>
      </w:r>
      <w:r w:rsidR="00600EC9" w:rsidRPr="00820275">
        <w:t>Generally, each TxCDBG grant is considered a stand</w:t>
      </w:r>
      <w:r w:rsidR="00A244E5">
        <w:t>-</w:t>
      </w:r>
      <w:r w:rsidR="00600EC9" w:rsidRPr="00820275">
        <w:t xml:space="preserve">alone grant and is NOT considered supplemental funding, even if the work identified in the </w:t>
      </w:r>
      <w:r w:rsidR="005540D8" w:rsidRPr="00820275">
        <w:t>Grant Agreement</w:t>
      </w:r>
      <w:r w:rsidR="00600EC9" w:rsidRPr="00820275">
        <w:t xml:space="preserve"> has been included in an environmental review under a separate </w:t>
      </w:r>
      <w:r w:rsidR="005540D8" w:rsidRPr="00820275">
        <w:t>Grant Agreement</w:t>
      </w:r>
      <w:r w:rsidR="00600EC9" w:rsidRPr="00820275">
        <w:t xml:space="preserve">. </w:t>
      </w:r>
    </w:p>
    <w:p w14:paraId="6A9CADE3" w14:textId="77777777" w:rsidR="00C52244" w:rsidRPr="00820275" w:rsidRDefault="00C52244" w:rsidP="00AE17BC"/>
    <w:p w14:paraId="2B0CA08D" w14:textId="771B0C8D" w:rsidR="00600EC9" w:rsidRPr="00820275" w:rsidRDefault="00C52244" w:rsidP="00AE17BC">
      <w:pPr>
        <w:rPr>
          <w:b/>
          <w:bCs/>
        </w:rPr>
      </w:pPr>
      <w:r w:rsidRPr="00820275">
        <w:rPr>
          <w:b/>
          <w:bCs/>
        </w:rPr>
        <w:t>EXAMPLE:</w:t>
      </w:r>
      <w:r w:rsidR="00600EC9" w:rsidRPr="00820275">
        <w:t xml:space="preserve"> </w:t>
      </w:r>
      <w:r w:rsidRPr="00820275">
        <w:t>When</w:t>
      </w:r>
      <w:r w:rsidR="00600EC9" w:rsidRPr="00820275">
        <w:t xml:space="preserve"> the scale </w:t>
      </w:r>
      <w:r w:rsidR="0029020A" w:rsidRPr="00820275">
        <w:t xml:space="preserve">of </w:t>
      </w:r>
      <w:r w:rsidR="00600EC9" w:rsidRPr="00820275">
        <w:t xml:space="preserve">a grant project is reduced due to costs after the environmental review is conducted, and the unconstructed work is proposed to be funded by a new grant application, the second application is a new, stand-alone project </w:t>
      </w:r>
      <w:r w:rsidRPr="00820275">
        <w:rPr>
          <w:rFonts w:ascii="Roboto" w:hAnsi="Roboto"/>
          <w:sz w:val="21"/>
          <w:szCs w:val="21"/>
          <w:shd w:val="clear" w:color="auto" w:fill="FFFFFF"/>
        </w:rPr>
        <w:t>—</w:t>
      </w:r>
      <w:r w:rsidR="00600EC9" w:rsidRPr="00820275">
        <w:t xml:space="preserve"> much of the research collected by the Grant Recipient previously may be applicable, while the review and clearance process will not rely on the existing separate grant.</w:t>
      </w:r>
    </w:p>
    <w:p w14:paraId="1E781991" w14:textId="77777777" w:rsidR="00600EC9" w:rsidRPr="00820275" w:rsidRDefault="00600EC9" w:rsidP="00AE17BC"/>
    <w:p w14:paraId="00798913" w14:textId="30D20CA2" w:rsidR="00600EC9" w:rsidRPr="00820275" w:rsidRDefault="00600EC9" w:rsidP="00AE17BC">
      <w:r w:rsidRPr="00820275">
        <w:t xml:space="preserve">An environmental review level of Categorically Excluded (b), Not Subject to 58.5 </w:t>
      </w:r>
      <w:proofErr w:type="gramStart"/>
      <w:r w:rsidRPr="00820275">
        <w:t>on the basis of</w:t>
      </w:r>
      <w:proofErr w:type="gramEnd"/>
      <w:r w:rsidRPr="00820275">
        <w:t xml:space="preserve"> </w:t>
      </w:r>
      <w:r w:rsidR="00C828A0" w:rsidRPr="00820275">
        <w:t>24 CFR 58.35(b)(7)</w:t>
      </w:r>
      <w:r w:rsidRPr="00820275">
        <w:t xml:space="preserve">. Approval of supplemental assistance to a </w:t>
      </w:r>
      <w:r w:rsidR="00C828A0" w:rsidRPr="00820275">
        <w:t xml:space="preserve">TxCDBG </w:t>
      </w:r>
      <w:r w:rsidRPr="00820275">
        <w:t>project previously approved may only be selected in cases where:</w:t>
      </w:r>
    </w:p>
    <w:p w14:paraId="76DC0B2C" w14:textId="77777777" w:rsidR="00C828A0" w:rsidRPr="00820275" w:rsidRDefault="00600EC9" w:rsidP="00AE17BC">
      <w:pPr>
        <w:pStyle w:val="ListParagraph"/>
        <w:numPr>
          <w:ilvl w:val="0"/>
          <w:numId w:val="45"/>
        </w:numPr>
      </w:pPr>
      <w:r w:rsidRPr="00820275">
        <w:t xml:space="preserve">The grant is part of a large, phased project, the full scope of which has been discussed and documented with TDA </w:t>
      </w:r>
      <w:proofErr w:type="gramStart"/>
      <w:r w:rsidRPr="00820275">
        <w:t>staff;</w:t>
      </w:r>
      <w:proofErr w:type="gramEnd"/>
    </w:p>
    <w:p w14:paraId="244D8CEA" w14:textId="77777777" w:rsidR="00C828A0" w:rsidRPr="00820275" w:rsidRDefault="00600EC9" w:rsidP="00AE17BC">
      <w:pPr>
        <w:pStyle w:val="ListParagraph"/>
        <w:numPr>
          <w:ilvl w:val="0"/>
          <w:numId w:val="45"/>
        </w:numPr>
      </w:pPr>
      <w:r w:rsidRPr="00820275">
        <w:t xml:space="preserve">The grant application identifies the project as supplemental assistance, funding a specific phase of the larger </w:t>
      </w:r>
      <w:proofErr w:type="gramStart"/>
      <w:r w:rsidRPr="00820275">
        <w:t>project;</w:t>
      </w:r>
      <w:proofErr w:type="gramEnd"/>
    </w:p>
    <w:p w14:paraId="12B04DCC" w14:textId="77777777" w:rsidR="00C828A0" w:rsidRPr="00820275" w:rsidRDefault="00600EC9" w:rsidP="00AE17BC">
      <w:pPr>
        <w:pStyle w:val="ListParagraph"/>
        <w:numPr>
          <w:ilvl w:val="0"/>
          <w:numId w:val="45"/>
        </w:numPr>
      </w:pPr>
      <w:r w:rsidRPr="00820275">
        <w:t xml:space="preserve">TDA staff has evaluated the proposed phase of work and determined that the original environmental review remains relevant and "supplemental funding" is an appropriate basis for the level of </w:t>
      </w:r>
      <w:proofErr w:type="gramStart"/>
      <w:r w:rsidRPr="00820275">
        <w:t>review;</w:t>
      </w:r>
      <w:proofErr w:type="gramEnd"/>
    </w:p>
    <w:p w14:paraId="5F404790" w14:textId="5088EC59" w:rsidR="00C828A0" w:rsidRPr="00820275" w:rsidRDefault="00600EC9" w:rsidP="00AE17BC">
      <w:pPr>
        <w:pStyle w:val="ListParagraph"/>
        <w:numPr>
          <w:ilvl w:val="0"/>
          <w:numId w:val="45"/>
        </w:numPr>
      </w:pPr>
      <w:r w:rsidRPr="00820275">
        <w:t>Administration and engineering contracts are structured to account for both the overall phased project and the specific phase being funded at that time; and</w:t>
      </w:r>
    </w:p>
    <w:p w14:paraId="5550F2FD" w14:textId="36F1452F" w:rsidR="00600EC9" w:rsidRPr="00820275" w:rsidRDefault="00600EC9" w:rsidP="00AE17BC">
      <w:pPr>
        <w:pStyle w:val="ListParagraph"/>
        <w:numPr>
          <w:ilvl w:val="0"/>
          <w:numId w:val="45"/>
        </w:numPr>
      </w:pPr>
      <w:r w:rsidRPr="00820275">
        <w:t>No costs are charged for the environmental review based on supplemental funding.</w:t>
      </w:r>
    </w:p>
    <w:p w14:paraId="4B59B359" w14:textId="77777777" w:rsidR="00600EC9" w:rsidRPr="00820275" w:rsidRDefault="00600EC9" w:rsidP="00AE17BC">
      <w:pPr>
        <w:pStyle w:val="1CDGBbodyArial11"/>
        <w:spacing w:line="240" w:lineRule="auto"/>
        <w:rPr>
          <w:szCs w:val="22"/>
        </w:rPr>
      </w:pPr>
    </w:p>
    <w:bookmarkEnd w:id="19"/>
    <w:p w14:paraId="6CB1DB9A" w14:textId="7E0DA3C4" w:rsidR="00147DB2" w:rsidRPr="00820275" w:rsidRDefault="00147DB2" w:rsidP="00AE17BC">
      <w:pPr>
        <w:rPr>
          <w:b/>
        </w:rPr>
      </w:pPr>
      <w:r w:rsidRPr="00232AB9">
        <w:t xml:space="preserve">Please contact </w:t>
      </w:r>
      <w:r w:rsidRPr="002655B0">
        <w:t xml:space="preserve">TDA at </w:t>
      </w:r>
      <w:hyperlink r:id="rId9" w:history="1">
        <w:r w:rsidRPr="00147DB2">
          <w:rPr>
            <w:rStyle w:val="Hyperlink"/>
            <w:color w:val="auto"/>
          </w:rPr>
          <w:t>CDBG_EnvReview@TexasAgriculture.gov</w:t>
        </w:r>
      </w:hyperlink>
      <w:r w:rsidRPr="002655B0">
        <w:t xml:space="preserve"> if </w:t>
      </w:r>
      <w:r>
        <w:t>any</w:t>
      </w:r>
      <w:r w:rsidRPr="002655B0">
        <w:t xml:space="preserve"> </w:t>
      </w:r>
      <w:r>
        <w:t xml:space="preserve">of </w:t>
      </w:r>
      <w:r w:rsidRPr="00232AB9">
        <w:t xml:space="preserve">the preceding </w:t>
      </w:r>
      <w:r>
        <w:t xml:space="preserve">special cases </w:t>
      </w:r>
      <w:r w:rsidRPr="00232AB9">
        <w:t>appl</w:t>
      </w:r>
      <w:r>
        <w:t>y</w:t>
      </w:r>
      <w:r w:rsidRPr="00232AB9">
        <w:t xml:space="preserve"> to your project</w:t>
      </w:r>
      <w:r w:rsidRPr="00F33217">
        <w:rPr>
          <w:b/>
          <w:color w:val="2F5496"/>
        </w:rPr>
        <w:t>.</w:t>
      </w:r>
      <w:r>
        <w:rPr>
          <w:b/>
          <w:color w:val="2F5496"/>
        </w:rPr>
        <w:t xml:space="preserve"> </w:t>
      </w:r>
    </w:p>
    <w:p w14:paraId="6C50980D" w14:textId="0F8B2B67" w:rsidR="00147DB2" w:rsidRPr="00820275" w:rsidRDefault="00147DB2" w:rsidP="00AE17BC"/>
    <w:p w14:paraId="690CC856" w14:textId="77777777" w:rsidR="00147DB2" w:rsidRPr="00820275" w:rsidRDefault="00147DB2" w:rsidP="00AE17BC"/>
    <w:p w14:paraId="0301297E" w14:textId="77777777" w:rsidR="006667B2" w:rsidRPr="00353F4E" w:rsidRDefault="006667B2" w:rsidP="001F52AB">
      <w:pPr>
        <w:pStyle w:val="Heading5"/>
      </w:pPr>
      <w:bookmarkStart w:id="20" w:name="_Toc123110428"/>
      <w:bookmarkStart w:id="21" w:name="_Toc171783643"/>
      <w:r w:rsidRPr="00353F4E">
        <w:t xml:space="preserve">3.1 </w:t>
      </w:r>
      <w:bookmarkStart w:id="22" w:name="_Hlk14450572"/>
      <w:r w:rsidRPr="00353F4E">
        <w:t>Environmental Review Process</w:t>
      </w:r>
      <w:bookmarkEnd w:id="20"/>
      <w:bookmarkEnd w:id="21"/>
      <w:bookmarkEnd w:id="22"/>
    </w:p>
    <w:p w14:paraId="5EA17514" w14:textId="77777777" w:rsidR="006667B2" w:rsidRPr="00A34F44" w:rsidRDefault="006667B2" w:rsidP="00AE17BC">
      <w:pPr>
        <w:pStyle w:val="HTMLPreformatted"/>
        <w:rPr>
          <w:sz w:val="22"/>
          <w:szCs w:val="22"/>
        </w:rPr>
      </w:pPr>
    </w:p>
    <w:p w14:paraId="731563D8" w14:textId="6B5DDD5C" w:rsidR="006667B2" w:rsidRPr="00933DD6" w:rsidRDefault="0010468B" w:rsidP="00AE17BC">
      <w:pPr>
        <w:pStyle w:val="CDBGBODYSTYLE"/>
        <w:spacing w:line="240" w:lineRule="auto"/>
      </w:pPr>
      <w:r>
        <w:t>The</w:t>
      </w:r>
      <w:r w:rsidR="006667B2" w:rsidRPr="005D093F">
        <w:t xml:space="preserve"> environmental review process should begin as soon as the Grant Recipient determines the projected use of HUD assistance</w:t>
      </w:r>
      <w:r w:rsidR="00A244E5">
        <w:t>.</w:t>
      </w:r>
      <w:r>
        <w:rPr>
          <w:rStyle w:val="FootnoteReference"/>
        </w:rPr>
        <w:footnoteReference w:id="2"/>
      </w:r>
      <w:r w:rsidR="006667B2" w:rsidRPr="005D093F">
        <w:t xml:space="preserve"> TDA considers the earliest determination of “the projected use of </w:t>
      </w:r>
      <w:r w:rsidR="006667B2" w:rsidRPr="00933DD6">
        <w:t>HUD assistance” to</w:t>
      </w:r>
      <w:r w:rsidR="004C55B9" w:rsidRPr="00933DD6">
        <w:t xml:space="preserve"> occur with</w:t>
      </w:r>
      <w:r w:rsidR="006667B2" w:rsidRPr="00933DD6">
        <w:t xml:space="preserve"> </w:t>
      </w:r>
      <w:r w:rsidRPr="00933DD6">
        <w:t xml:space="preserve">the </w:t>
      </w:r>
      <w:r w:rsidR="006667B2" w:rsidRPr="00933DD6">
        <w:t>adoption of the resolution authorizing submission of the grant application, or a similar formal action taken by the Grant Recipient (Responsible Entity) to prepare for or file an application for TxCDBG funding</w:t>
      </w:r>
      <w:r w:rsidR="00D67B91" w:rsidRPr="00933DD6">
        <w:rPr>
          <w:rStyle w:val="FootnoteReference"/>
        </w:rPr>
        <w:footnoteReference w:id="3"/>
      </w:r>
      <w:r w:rsidR="006667B2" w:rsidRPr="00933DD6">
        <w:t xml:space="preserve">. </w:t>
      </w:r>
    </w:p>
    <w:p w14:paraId="16A455AD" w14:textId="77777777" w:rsidR="006667B2" w:rsidRPr="00933DD6" w:rsidRDefault="006667B2" w:rsidP="00AE17BC">
      <w:pPr>
        <w:pStyle w:val="CDBGBODYSTYLE"/>
        <w:spacing w:line="240" w:lineRule="auto"/>
      </w:pPr>
    </w:p>
    <w:p w14:paraId="3977793B" w14:textId="5042F3B2" w:rsidR="006667B2" w:rsidRPr="00933DD6" w:rsidRDefault="006667B2" w:rsidP="00AE17BC">
      <w:pPr>
        <w:rPr>
          <w:i/>
          <w:iCs/>
        </w:rPr>
      </w:pPr>
      <w:r w:rsidRPr="00933DD6">
        <w:t xml:space="preserve">The </w:t>
      </w:r>
      <w:r w:rsidRPr="00933DD6">
        <w:rPr>
          <w:i/>
          <w:iCs/>
        </w:rPr>
        <w:t>Environmental Review Performance Report</w:t>
      </w:r>
      <w:r w:rsidRPr="00933DD6">
        <w:t xml:space="preserve"> </w:t>
      </w:r>
      <w:proofErr w:type="gramStart"/>
      <w:r w:rsidRPr="00933DD6">
        <w:t>is</w:t>
      </w:r>
      <w:proofErr w:type="gramEnd"/>
      <w:r w:rsidRPr="00933DD6">
        <w:t xml:space="preserve"> created in TDA-GO during the funding process and can be found in the </w:t>
      </w:r>
      <w:r w:rsidRPr="00933DD6">
        <w:rPr>
          <w:i/>
          <w:iCs/>
        </w:rPr>
        <w:t>Related Documents</w:t>
      </w:r>
      <w:r w:rsidRPr="00933DD6">
        <w:t xml:space="preserve"> sectio</w:t>
      </w:r>
      <w:r w:rsidR="00AE17BC" w:rsidRPr="00933DD6">
        <w:t>n</w:t>
      </w:r>
      <w:r w:rsidR="008B669F" w:rsidRPr="00933DD6">
        <w:t xml:space="preserve"> of the Application/Grant Document</w:t>
      </w:r>
      <w:r w:rsidRPr="00933DD6">
        <w:t xml:space="preserve">.  </w:t>
      </w:r>
      <w:r w:rsidR="008B669F" w:rsidRPr="00933DD6">
        <w:t xml:space="preserve">Detailed instructions for completing this report are available on the TDA website as </w:t>
      </w:r>
      <w:r w:rsidR="008B669F" w:rsidRPr="00933DD6">
        <w:rPr>
          <w:i/>
          <w:iCs/>
        </w:rPr>
        <w:t>“How to Prepare and Submit the Environmental Report”</w:t>
      </w:r>
      <w:r w:rsidR="004B5000" w:rsidRPr="00933DD6">
        <w:rPr>
          <w:i/>
          <w:iCs/>
        </w:rPr>
        <w:t>.</w:t>
      </w:r>
    </w:p>
    <w:p w14:paraId="3772ACCB" w14:textId="77777777" w:rsidR="006667B2" w:rsidRPr="00933DD6" w:rsidRDefault="006667B2" w:rsidP="00AE17BC"/>
    <w:p w14:paraId="41A62D43" w14:textId="77777777" w:rsidR="006667B2" w:rsidRPr="00933DD6" w:rsidRDefault="006667B2" w:rsidP="00AE17BC">
      <w:pPr>
        <w:pStyle w:val="CDBGBODYSTYLE"/>
        <w:spacing w:line="240" w:lineRule="auto"/>
      </w:pPr>
    </w:p>
    <w:p w14:paraId="1F23450C" w14:textId="77777777" w:rsidR="006667B2" w:rsidRPr="00933DD6" w:rsidRDefault="006667B2" w:rsidP="007D4379">
      <w:pPr>
        <w:pStyle w:val="Heading2"/>
      </w:pPr>
      <w:bookmarkStart w:id="23" w:name="_Toc123110429"/>
      <w:bookmarkStart w:id="24" w:name="_Toc171783644"/>
      <w:r w:rsidRPr="00933DD6">
        <w:t>3.1.1 Step 1. Determine Project Description</w:t>
      </w:r>
      <w:bookmarkEnd w:id="23"/>
      <w:bookmarkEnd w:id="24"/>
      <w:r w:rsidRPr="00933DD6">
        <w:t xml:space="preserve"> </w:t>
      </w:r>
    </w:p>
    <w:p w14:paraId="271CB1CE" w14:textId="77777777" w:rsidR="006667B2" w:rsidRPr="00933DD6" w:rsidRDefault="006667B2" w:rsidP="00AE17BC"/>
    <w:p w14:paraId="1D390540" w14:textId="7472AC34" w:rsidR="0077127F" w:rsidRPr="00933DD6" w:rsidRDefault="006667B2" w:rsidP="00AE17BC">
      <w:pPr>
        <w:pStyle w:val="CDBGBODYSTYLE"/>
        <w:spacing w:line="240" w:lineRule="auto"/>
      </w:pPr>
      <w:r w:rsidRPr="00933DD6">
        <w:t>A complete and clear project description is the first step in the environmental review process. The project description should provide</w:t>
      </w:r>
      <w:r w:rsidR="0077127F" w:rsidRPr="00933DD6">
        <w:t>, at a minimum:</w:t>
      </w:r>
    </w:p>
    <w:p w14:paraId="3DB7F633" w14:textId="14E624D6" w:rsidR="0077127F" w:rsidRPr="00933DD6" w:rsidRDefault="008F22E7" w:rsidP="0077127F">
      <w:pPr>
        <w:pStyle w:val="CDBGBODYSTYLE"/>
        <w:numPr>
          <w:ilvl w:val="0"/>
          <w:numId w:val="47"/>
        </w:numPr>
        <w:spacing w:line="240" w:lineRule="auto"/>
      </w:pPr>
      <w:r>
        <w:t>L</w:t>
      </w:r>
      <w:r w:rsidR="006667B2" w:rsidRPr="00933DD6">
        <w:t>ocation-specific information and geographic boundaries</w:t>
      </w:r>
      <w:r>
        <w:t xml:space="preserve">, </w:t>
      </w:r>
      <w:r w:rsidRPr="00CC2E2E">
        <w:rPr>
          <w:color w:val="2F5496" w:themeColor="accent1" w:themeShade="BF"/>
        </w:rPr>
        <w:t xml:space="preserve">including location names </w:t>
      </w:r>
      <w:r w:rsidR="00E52CE1" w:rsidRPr="00CC2E2E">
        <w:rPr>
          <w:color w:val="2F5496" w:themeColor="accent1" w:themeShade="BF"/>
        </w:rPr>
        <w:t>(</w:t>
      </w:r>
      <w:r w:rsidRPr="00CC2E2E">
        <w:rPr>
          <w:color w:val="2F5496" w:themeColor="accent1" w:themeShade="BF"/>
        </w:rPr>
        <w:t>not only stand-alone coordinates</w:t>
      </w:r>
      <w:proofErr w:type="gramStart"/>
      <w:r w:rsidR="00E52CE1" w:rsidRPr="00CC2E2E">
        <w:rPr>
          <w:color w:val="2F5496" w:themeColor="accent1" w:themeShade="BF"/>
        </w:rPr>
        <w:t>)</w:t>
      </w:r>
      <w:r w:rsidR="0077127F" w:rsidRPr="00CC2E2E">
        <w:rPr>
          <w:color w:val="2F5496" w:themeColor="accent1" w:themeShade="BF"/>
        </w:rPr>
        <w:t>;</w:t>
      </w:r>
      <w:proofErr w:type="gramEnd"/>
    </w:p>
    <w:p w14:paraId="66EF4B0B" w14:textId="7BA6075E" w:rsidR="0077127F" w:rsidRPr="00933DD6" w:rsidRDefault="008F22E7" w:rsidP="0077127F">
      <w:pPr>
        <w:pStyle w:val="CDBGBODYSTYLE"/>
        <w:numPr>
          <w:ilvl w:val="0"/>
          <w:numId w:val="47"/>
        </w:numPr>
        <w:spacing w:line="240" w:lineRule="auto"/>
      </w:pPr>
      <w:r>
        <w:t>A</w:t>
      </w:r>
      <w:r w:rsidR="006667B2" w:rsidRPr="00933DD6">
        <w:t xml:space="preserve"> delineation of all activities included in the overall scope of the project</w:t>
      </w:r>
      <w:r w:rsidR="0077127F" w:rsidRPr="00933DD6">
        <w:t xml:space="preserve">, including </w:t>
      </w:r>
      <w:proofErr w:type="gramStart"/>
      <w:r w:rsidR="0077127F" w:rsidRPr="00933DD6">
        <w:t>acquisition;</w:t>
      </w:r>
      <w:proofErr w:type="gramEnd"/>
    </w:p>
    <w:p w14:paraId="018FB333" w14:textId="5B8330A6" w:rsidR="0077127F" w:rsidRPr="00933DD6" w:rsidRDefault="0077127F" w:rsidP="0077127F">
      <w:pPr>
        <w:pStyle w:val="CDBGBODYSTYLE"/>
        <w:numPr>
          <w:ilvl w:val="0"/>
          <w:numId w:val="47"/>
        </w:numPr>
        <w:spacing w:line="240" w:lineRule="auto"/>
      </w:pPr>
      <w:r w:rsidRPr="00933DD6">
        <w:t>A</w:t>
      </w:r>
      <w:r w:rsidR="006667B2" w:rsidRPr="00933DD6">
        <w:t xml:space="preserve"> description of the existing conditions of the </w:t>
      </w:r>
      <w:proofErr w:type="gramStart"/>
      <w:r w:rsidR="006667B2" w:rsidRPr="00933DD6">
        <w:t>site</w:t>
      </w:r>
      <w:r w:rsidRPr="00933DD6">
        <w:t>;</w:t>
      </w:r>
      <w:proofErr w:type="gramEnd"/>
      <w:r w:rsidR="006667B2" w:rsidRPr="00933DD6">
        <w:t xml:space="preserve"> </w:t>
      </w:r>
    </w:p>
    <w:p w14:paraId="317C4174" w14:textId="06A28570" w:rsidR="0077127F" w:rsidRDefault="0077127F" w:rsidP="0077127F">
      <w:pPr>
        <w:pStyle w:val="CDBGBODYSTYLE"/>
        <w:numPr>
          <w:ilvl w:val="0"/>
          <w:numId w:val="47"/>
        </w:numPr>
        <w:spacing w:line="240" w:lineRule="auto"/>
      </w:pPr>
      <w:r>
        <w:t>All</w:t>
      </w:r>
      <w:r w:rsidR="006667B2" w:rsidRPr="00820E70">
        <w:t xml:space="preserve"> elements described in the TxCDBG </w:t>
      </w:r>
      <w:r w:rsidR="005540D8">
        <w:t>Grant Agreement</w:t>
      </w:r>
      <w:r w:rsidR="006667B2" w:rsidRPr="00820E70">
        <w:t xml:space="preserve"> Performance Statement must be included in the </w:t>
      </w:r>
      <w:proofErr w:type="gramStart"/>
      <w:r w:rsidR="006667B2" w:rsidRPr="00820E70">
        <w:t>description</w:t>
      </w:r>
      <w:r>
        <w:t>;</w:t>
      </w:r>
      <w:proofErr w:type="gramEnd"/>
      <w:r w:rsidR="006667B2">
        <w:t xml:space="preserve"> </w:t>
      </w:r>
    </w:p>
    <w:p w14:paraId="2C5428D1" w14:textId="29DC3E79" w:rsidR="0077127F" w:rsidRPr="00A017EB" w:rsidRDefault="0077127F" w:rsidP="0077127F">
      <w:pPr>
        <w:pStyle w:val="CDBGBODYSTYLE"/>
        <w:numPr>
          <w:ilvl w:val="0"/>
          <w:numId w:val="47"/>
        </w:numPr>
        <w:spacing w:line="240" w:lineRule="auto"/>
      </w:pPr>
      <w:r>
        <w:t>A</w:t>
      </w:r>
      <w:r w:rsidR="006667B2" w:rsidRPr="00820E70">
        <w:t>ctivities not funded by TxCDBG but are part of the aggregate impact of the project on the environment must also be included in the description and in the environmental assessment</w:t>
      </w:r>
      <w:r w:rsidR="006667B2" w:rsidRPr="00820E70">
        <w:rPr>
          <w:i/>
        </w:rPr>
        <w:t xml:space="preserve">, </w:t>
      </w:r>
      <w:r w:rsidR="006667B2" w:rsidRPr="00820E70">
        <w:t>including any</w:t>
      </w:r>
      <w:r w:rsidR="006667B2" w:rsidRPr="00820E70">
        <w:rPr>
          <w:i/>
        </w:rPr>
        <w:t xml:space="preserve"> </w:t>
      </w:r>
      <w:r w:rsidR="006667B2" w:rsidRPr="00820E70">
        <w:t xml:space="preserve">business attached to </w:t>
      </w:r>
      <w:r w:rsidR="005540D8">
        <w:t>the</w:t>
      </w:r>
      <w:r w:rsidR="006667B2" w:rsidRPr="00820E70">
        <w:t xml:space="preserve"> </w:t>
      </w:r>
      <w:r w:rsidR="005540D8">
        <w:t>Tx</w:t>
      </w:r>
      <w:r w:rsidR="006667B2" w:rsidRPr="00820E70">
        <w:t>CDBG project.</w:t>
      </w:r>
      <w:r w:rsidR="006667B2">
        <w:rPr>
          <w:i/>
        </w:rPr>
        <w:t xml:space="preserve"> </w:t>
      </w:r>
    </w:p>
    <w:p w14:paraId="46A10997" w14:textId="77777777" w:rsidR="0077127F" w:rsidRPr="00933DD6" w:rsidRDefault="0077127F" w:rsidP="00A017EB">
      <w:pPr>
        <w:pStyle w:val="CDBGBODYSTYLE"/>
        <w:spacing w:line="240" w:lineRule="auto"/>
        <w:ind w:left="60"/>
      </w:pPr>
    </w:p>
    <w:p w14:paraId="68E042C9" w14:textId="73A7A197" w:rsidR="006667B2" w:rsidRPr="00933DD6" w:rsidRDefault="006667B2" w:rsidP="00A017EB">
      <w:pPr>
        <w:pStyle w:val="CDBGBODYSTYLE"/>
        <w:spacing w:line="240" w:lineRule="auto"/>
        <w:ind w:left="60"/>
      </w:pPr>
      <w:r w:rsidRPr="00933DD6">
        <w:t>Th</w:t>
      </w:r>
      <w:r w:rsidR="0077127F" w:rsidRPr="00933DD6">
        <w:t>e project</w:t>
      </w:r>
      <w:r w:rsidRPr="00933DD6">
        <w:t xml:space="preserve"> description is the foundation for the review process and </w:t>
      </w:r>
      <w:r w:rsidR="004B5000" w:rsidRPr="00933DD6">
        <w:t>must be consistent throughout the environmental review, including the Environmental Review Main Form and in all required publications</w:t>
      </w:r>
      <w:r w:rsidR="00824446" w:rsidRPr="00933DD6">
        <w:t>.</w:t>
      </w:r>
      <w:r w:rsidRPr="00933DD6">
        <w:t xml:space="preserve"> </w:t>
      </w:r>
    </w:p>
    <w:p w14:paraId="259A425C" w14:textId="77777777" w:rsidR="005540D8" w:rsidRPr="00933DD6" w:rsidRDefault="005540D8" w:rsidP="00AE17BC">
      <w:pPr>
        <w:pStyle w:val="CDBGBODYSTYLE"/>
        <w:spacing w:line="240" w:lineRule="auto"/>
      </w:pPr>
    </w:p>
    <w:p w14:paraId="7E6F18FE" w14:textId="77777777" w:rsidR="006667B2" w:rsidRPr="00800ED2" w:rsidRDefault="006667B2" w:rsidP="00AE17BC">
      <w:pPr>
        <w:pStyle w:val="CDBGBODYSTYLE"/>
        <w:spacing w:line="240" w:lineRule="auto"/>
      </w:pPr>
      <w:r w:rsidRPr="00933DD6">
        <w:rPr>
          <w:b/>
          <w:bCs/>
        </w:rPr>
        <w:t>BEST PRACTICE</w:t>
      </w:r>
      <w:r w:rsidRPr="00933DD6">
        <w:t xml:space="preserve">: Include in the project description alternative construction activities and locations where additional work may be completed if </w:t>
      </w:r>
      <w:r>
        <w:t xml:space="preserve">budgeted project funds allow. These activities and locations must be included in the scope of the environmental review study. </w:t>
      </w:r>
      <w:r w:rsidRPr="00800ED2">
        <w:t xml:space="preserve"> </w:t>
      </w:r>
    </w:p>
    <w:p w14:paraId="071ED1C5" w14:textId="77777777" w:rsidR="006667B2" w:rsidRPr="00820E70" w:rsidRDefault="006667B2" w:rsidP="00AE17BC">
      <w:pPr>
        <w:pStyle w:val="CDBGBODYSTYLE"/>
        <w:spacing w:line="240" w:lineRule="auto"/>
      </w:pPr>
    </w:p>
    <w:p w14:paraId="44623208" w14:textId="77777777" w:rsidR="006667B2" w:rsidRPr="00820E70" w:rsidRDefault="006667B2" w:rsidP="00AE17BC">
      <w:pPr>
        <w:pStyle w:val="CDBGBODYSTYLE"/>
        <w:spacing w:line="240" w:lineRule="auto"/>
      </w:pPr>
      <w:r w:rsidRPr="00820E70">
        <w:t xml:space="preserve">Grant Recipients must complete an environmental review for </w:t>
      </w:r>
      <w:r w:rsidRPr="009D13FF">
        <w:rPr>
          <w:b/>
          <w:bCs/>
        </w:rPr>
        <w:t>each</w:t>
      </w:r>
      <w:r w:rsidRPr="00820E70">
        <w:t xml:space="preserve"> project, including all </w:t>
      </w:r>
      <w:proofErr w:type="gramStart"/>
      <w:r w:rsidRPr="00820E70">
        <w:t>functionally</w:t>
      </w:r>
      <w:r>
        <w:t>-related</w:t>
      </w:r>
      <w:proofErr w:type="gramEnd"/>
      <w:r>
        <w:t xml:space="preserve"> </w:t>
      </w:r>
      <w:r w:rsidRPr="00820E70">
        <w:t>and geographically-related activities</w:t>
      </w:r>
      <w:r>
        <w:t>,</w:t>
      </w:r>
      <w:r w:rsidRPr="00820E70">
        <w:t xml:space="preserve"> and the associated administration and engineering work. </w:t>
      </w:r>
    </w:p>
    <w:p w14:paraId="062630FB" w14:textId="4AE1D89C" w:rsidR="006667B2" w:rsidRPr="00820E70" w:rsidRDefault="006667B2" w:rsidP="00AE17BC">
      <w:pPr>
        <w:pStyle w:val="CDBGBULLETSTYLE"/>
        <w:spacing w:line="240" w:lineRule="auto"/>
        <w:ind w:left="720"/>
        <w:jc w:val="both"/>
      </w:pPr>
      <w:r w:rsidRPr="007A29DD">
        <w:rPr>
          <w:b/>
          <w:bCs/>
        </w:rPr>
        <w:t>Professional and Related Services</w:t>
      </w:r>
      <w:r>
        <w:t xml:space="preserve"> – </w:t>
      </w:r>
      <w:r w:rsidRPr="00820E70">
        <w:t xml:space="preserve">Executing a service </w:t>
      </w:r>
      <w:r w:rsidR="00AE17BC">
        <w:t>contract</w:t>
      </w:r>
      <w:r w:rsidRPr="00820E70">
        <w:t xml:space="preserve"> for administration or engineering work necessary to complete the project is not considered a “choice</w:t>
      </w:r>
      <w:r>
        <w:t>-</w:t>
      </w:r>
      <w:r w:rsidRPr="00820E70">
        <w:t>limiting action”</w:t>
      </w:r>
      <w:r w:rsidR="00226EBF">
        <w:t xml:space="preserve"> </w:t>
      </w:r>
      <w:r w:rsidRPr="00820E70">
        <w:t xml:space="preserve">and does not violate 24 CFR </w:t>
      </w:r>
      <w:r>
        <w:t>§</w:t>
      </w:r>
      <w:r w:rsidRPr="00820E70">
        <w:t>58.22. Therefore, it is no</w:t>
      </w:r>
      <w:r>
        <w:t>t</w:t>
      </w:r>
      <w:r w:rsidRPr="00820E70">
        <w:t xml:space="preserve"> necessary to file an exemption for administration and engineering services separate from the environmental review for the related activity.</w:t>
      </w:r>
      <w:r>
        <w:t xml:space="preserve"> However, these activities must be included in the project description contained in the environmental review record and must also be included in scope of project activities listed in the published finding of no significant impact and/or notice of intent to request release of funds.</w:t>
      </w:r>
    </w:p>
    <w:p w14:paraId="0231B905" w14:textId="28BA49C6" w:rsidR="006667B2" w:rsidRPr="00820E70" w:rsidRDefault="006667B2" w:rsidP="00AE17BC">
      <w:pPr>
        <w:pStyle w:val="CDBGBULLETSTYLE"/>
        <w:spacing w:line="240" w:lineRule="auto"/>
        <w:ind w:left="720"/>
        <w:jc w:val="both"/>
      </w:pPr>
      <w:r w:rsidRPr="007A29DD">
        <w:rPr>
          <w:b/>
          <w:bCs/>
        </w:rPr>
        <w:t>Projects in a Floodway</w:t>
      </w:r>
      <w:r>
        <w:t xml:space="preserve"> – </w:t>
      </w:r>
      <w:r w:rsidRPr="00820E70">
        <w:t>Infrastructure projects in areas mapped as “</w:t>
      </w:r>
      <w:r w:rsidRPr="008F22E7">
        <w:t>floodways</w:t>
      </w:r>
      <w:r w:rsidR="0080743F">
        <w:rPr>
          <w:rStyle w:val="FootnoteReference"/>
        </w:rPr>
        <w:footnoteReference w:id="4"/>
      </w:r>
      <w:r w:rsidRPr="00820E70">
        <w:t xml:space="preserve">” may </w:t>
      </w:r>
      <w:r>
        <w:t xml:space="preserve">only </w:t>
      </w:r>
      <w:r w:rsidRPr="00820E70">
        <w:t>be funded if</w:t>
      </w:r>
      <w:r w:rsidR="00D67B91">
        <w:t>:</w:t>
      </w:r>
    </w:p>
    <w:p w14:paraId="4893B242" w14:textId="1588D6AF" w:rsidR="006667B2" w:rsidRPr="00933DD6" w:rsidRDefault="00D67B91" w:rsidP="00AE17BC">
      <w:pPr>
        <w:pStyle w:val="CDBGBULLETSTYLE"/>
        <w:numPr>
          <w:ilvl w:val="1"/>
          <w:numId w:val="8"/>
        </w:numPr>
        <w:spacing w:line="240" w:lineRule="auto"/>
        <w:ind w:left="1080"/>
        <w:jc w:val="both"/>
      </w:pPr>
      <w:r>
        <w:t>T</w:t>
      </w:r>
      <w:r w:rsidR="006667B2" w:rsidRPr="00820E70">
        <w:t>he infrastructure is installed below the floodway using directional drilling below ground level</w:t>
      </w:r>
      <w:r w:rsidR="006667B2">
        <w:t xml:space="preserve">; </w:t>
      </w:r>
      <w:r w:rsidR="006667B2" w:rsidRPr="00933DD6">
        <w:t xml:space="preserve">any potential erosion issues will be addressed in the 8-Step Process (see </w:t>
      </w:r>
      <w:r w:rsidR="00434ABA" w:rsidRPr="00933DD6">
        <w:t>the Additional Guidance for Certain Review Requirements section</w:t>
      </w:r>
      <w:r w:rsidR="006667B2" w:rsidRPr="00933DD6">
        <w:t>); or</w:t>
      </w:r>
    </w:p>
    <w:p w14:paraId="652A65B8" w14:textId="3DA0BB76" w:rsidR="006667B2" w:rsidRPr="00933DD6" w:rsidRDefault="00D67B91" w:rsidP="00AE17BC">
      <w:pPr>
        <w:pStyle w:val="CDBGBULLETSTYLE"/>
        <w:numPr>
          <w:ilvl w:val="1"/>
          <w:numId w:val="8"/>
        </w:numPr>
        <w:spacing w:line="240" w:lineRule="auto"/>
        <w:ind w:left="1080"/>
        <w:jc w:val="both"/>
      </w:pPr>
      <w:r w:rsidRPr="00933DD6">
        <w:t>T</w:t>
      </w:r>
      <w:r w:rsidR="006667B2" w:rsidRPr="00933DD6">
        <w:t>he infrastructure is elevated above the floodway and installed above the base flood level, such as pipelines mounted to existing bridges above the base flood mark.</w:t>
      </w:r>
    </w:p>
    <w:p w14:paraId="268D2939" w14:textId="0A002EAB" w:rsidR="006667B2" w:rsidRPr="00933DD6" w:rsidRDefault="00D67B91" w:rsidP="00AE17BC">
      <w:pPr>
        <w:pStyle w:val="CDBGBULLETSTYLE"/>
        <w:numPr>
          <w:ilvl w:val="1"/>
          <w:numId w:val="8"/>
        </w:numPr>
        <w:spacing w:line="240" w:lineRule="auto"/>
        <w:ind w:left="1080"/>
        <w:jc w:val="both"/>
      </w:pPr>
      <w:r w:rsidRPr="00933DD6">
        <w:t>N</w:t>
      </w:r>
      <w:r w:rsidR="006667B2" w:rsidRPr="00933DD6">
        <w:t>o housing or other structures</w:t>
      </w:r>
      <w:r w:rsidR="00955CBA" w:rsidRPr="00933DD6">
        <w:t>, as defined by FEMA</w:t>
      </w:r>
      <w:r w:rsidR="00A244E5" w:rsidRPr="00933DD6">
        <w:t>,</w:t>
      </w:r>
      <w:r w:rsidR="00955CBA" w:rsidRPr="00933DD6">
        <w:rPr>
          <w:rStyle w:val="FootnoteReference"/>
        </w:rPr>
        <w:footnoteReference w:id="5"/>
      </w:r>
      <w:r w:rsidR="006667B2" w:rsidRPr="00933DD6">
        <w:t xml:space="preserve"> “not functionally dependent” on the waterway will be funded if located within the floodway itself.</w:t>
      </w:r>
      <w:r w:rsidR="00C45607" w:rsidRPr="00933DD6">
        <w:rPr>
          <w:rStyle w:val="FootnoteReference"/>
        </w:rPr>
        <w:footnoteReference w:id="6"/>
      </w:r>
    </w:p>
    <w:p w14:paraId="272FEAD6" w14:textId="440B0FE4" w:rsidR="00955CBA" w:rsidRPr="00933DD6" w:rsidRDefault="00955CBA" w:rsidP="00AE17BC">
      <w:pPr>
        <w:pStyle w:val="CDBGBULLETSTYLE"/>
        <w:numPr>
          <w:ilvl w:val="1"/>
          <w:numId w:val="8"/>
        </w:numPr>
        <w:spacing w:line="240" w:lineRule="auto"/>
        <w:ind w:left="1080"/>
        <w:jc w:val="both"/>
      </w:pPr>
      <w:r w:rsidRPr="00933DD6">
        <w:t>Critical Actions, as defined by HUD</w:t>
      </w:r>
      <w:r w:rsidR="00A244E5" w:rsidRPr="00933DD6">
        <w:t>,</w:t>
      </w:r>
      <w:r w:rsidRPr="00933DD6">
        <w:rPr>
          <w:rStyle w:val="FootnoteReference"/>
        </w:rPr>
        <w:footnoteReference w:id="7"/>
      </w:r>
      <w:r w:rsidRPr="00933DD6">
        <w:t xml:space="preserve"> shall not be approved in Floodways.</w:t>
      </w:r>
    </w:p>
    <w:p w14:paraId="18BF49D9" w14:textId="5EB94050" w:rsidR="00BB3240" w:rsidRDefault="006667B2" w:rsidP="00BB3240">
      <w:pPr>
        <w:pStyle w:val="CDBGBULLETSTYLE"/>
        <w:numPr>
          <w:ilvl w:val="1"/>
          <w:numId w:val="8"/>
        </w:numPr>
        <w:spacing w:line="240" w:lineRule="auto"/>
        <w:ind w:left="1080"/>
        <w:jc w:val="both"/>
      </w:pPr>
      <w:r w:rsidRPr="00933DD6">
        <w:t xml:space="preserve">For additional guidance, see also HUD’s Notice CPD-17-13, “Notice for Interpreting the Limits of the Floodway for Linear Infrastructure Projects </w:t>
      </w:r>
      <w:r>
        <w:t>Complying with HUD Floodplain Management Regulations, 24 CFR Part 55.”</w:t>
      </w:r>
    </w:p>
    <w:p w14:paraId="26A335EB" w14:textId="4FCD226B" w:rsidR="00F423C9" w:rsidRPr="00CC2E2E" w:rsidRDefault="00F423C9" w:rsidP="00F423C9">
      <w:pPr>
        <w:pStyle w:val="CDBGBULLETSTYLE"/>
        <w:numPr>
          <w:ilvl w:val="1"/>
          <w:numId w:val="8"/>
        </w:numPr>
        <w:spacing w:line="240" w:lineRule="auto"/>
        <w:ind w:left="1080"/>
        <w:jc w:val="both"/>
        <w:rPr>
          <w:color w:val="2F5496" w:themeColor="accent1" w:themeShade="BF"/>
        </w:rPr>
      </w:pPr>
      <w:r w:rsidRPr="00CC2E2E">
        <w:rPr>
          <w:color w:val="2F5496" w:themeColor="accent1" w:themeShade="BF"/>
        </w:rPr>
        <w:t xml:space="preserve">Per HUD Revised Part 55 rule, </w:t>
      </w:r>
      <w:r w:rsidRPr="00CC2E2E">
        <w:rPr>
          <w:color w:val="2F5496" w:themeColor="accent1" w:themeShade="BF"/>
          <w:shd w:val="clear" w:color="auto" w:fill="FFFFFF"/>
        </w:rPr>
        <w:t>rehabilitation of existing structures located in the floodplain when there is also a floodway on the property/parcel is allowable, including rehabilitation within the footprint of an existing structure.   A permanent covenant to preserve all floodplain areas from future development and new construction on the parcel is required.</w:t>
      </w:r>
    </w:p>
    <w:p w14:paraId="7C81E706" w14:textId="5F6F486A" w:rsidR="00BB3240" w:rsidRPr="0028777A" w:rsidRDefault="00BB3240" w:rsidP="007D4379">
      <w:pPr>
        <w:pStyle w:val="CDBGBULLETSTYLE"/>
        <w:numPr>
          <w:ilvl w:val="0"/>
          <w:numId w:val="0"/>
        </w:numPr>
        <w:spacing w:line="240" w:lineRule="auto"/>
        <w:ind w:left="1080"/>
        <w:jc w:val="both"/>
      </w:pPr>
    </w:p>
    <w:p w14:paraId="3077C171" w14:textId="4E5C3FB3" w:rsidR="006667B2" w:rsidRPr="00DA0BFE" w:rsidRDefault="006667B2" w:rsidP="00AE17BC">
      <w:pPr>
        <w:pStyle w:val="CDBGBULLETSTYLE"/>
        <w:spacing w:line="240" w:lineRule="auto"/>
        <w:ind w:left="720"/>
        <w:jc w:val="both"/>
        <w:rPr>
          <w:b/>
          <w:bCs/>
        </w:rPr>
      </w:pPr>
      <w:r w:rsidRPr="00C45607">
        <w:rPr>
          <w:b/>
          <w:bCs/>
        </w:rPr>
        <w:t>Projects in a Floodplain</w:t>
      </w:r>
      <w:r w:rsidRPr="00C45607">
        <w:t xml:space="preserve"> – Grant Recipients completing projects in a floodplain must complete the 8-Step Process and participate in the National Flood Insurance Program (NFIP). The Grant Recipient must </w:t>
      </w:r>
      <w:r w:rsidRPr="00147DB2">
        <w:t xml:space="preserve">maintain documentation with the Environmental Review Record (ERR) of participation in the NFIP. </w:t>
      </w:r>
      <w:hyperlink r:id="rId10" w:history="1">
        <w:r w:rsidRPr="00DA0BFE">
          <w:rPr>
            <w:rStyle w:val="Hyperlink"/>
            <w:b w:val="0"/>
            <w:bCs w:val="0"/>
            <w:color w:val="auto"/>
          </w:rPr>
          <w:t>https://www.fema.gov/flood-insurance/work-with-nfip/community-status-book</w:t>
        </w:r>
      </w:hyperlink>
      <w:r w:rsidRPr="00DA0BFE">
        <w:rPr>
          <w:b/>
          <w:bCs/>
        </w:rPr>
        <w:t xml:space="preserve"> </w:t>
      </w:r>
      <w:r w:rsidRPr="00DA0BFE">
        <w:t>website</w:t>
      </w:r>
      <w:r w:rsidRPr="00DA0BFE">
        <w:rPr>
          <w:b/>
          <w:bCs/>
        </w:rPr>
        <w:t>.</w:t>
      </w:r>
    </w:p>
    <w:p w14:paraId="7D44C73E" w14:textId="77777777" w:rsidR="006667B2" w:rsidRDefault="006667B2" w:rsidP="00AE17BC">
      <w:pPr>
        <w:pStyle w:val="CDBGBULLETSTYLE"/>
        <w:numPr>
          <w:ilvl w:val="0"/>
          <w:numId w:val="0"/>
        </w:numPr>
        <w:spacing w:line="240" w:lineRule="auto"/>
        <w:ind w:left="810" w:hanging="360"/>
      </w:pPr>
    </w:p>
    <w:p w14:paraId="529C8265" w14:textId="77777777" w:rsidR="006667B2" w:rsidRDefault="006667B2" w:rsidP="00AE17BC">
      <w:pPr>
        <w:pStyle w:val="CDBGBULLETSTYLE"/>
        <w:numPr>
          <w:ilvl w:val="0"/>
          <w:numId w:val="0"/>
        </w:numPr>
        <w:spacing w:line="240" w:lineRule="auto"/>
        <w:ind w:left="810" w:hanging="360"/>
      </w:pPr>
    </w:p>
    <w:p w14:paraId="594333AF" w14:textId="77777777" w:rsidR="006667B2" w:rsidRPr="007D4379" w:rsidRDefault="006667B2" w:rsidP="007D4379">
      <w:pPr>
        <w:pStyle w:val="Heading2"/>
      </w:pPr>
      <w:bookmarkStart w:id="25" w:name="se24.1.55_120"/>
      <w:bookmarkStart w:id="26" w:name="_Toc123110430"/>
      <w:bookmarkStart w:id="27" w:name="_Toc171783645"/>
      <w:bookmarkEnd w:id="25"/>
      <w:r w:rsidRPr="007D4379">
        <w:t>3.1.2 Step 2. Determine the Level of Review</w:t>
      </w:r>
      <w:bookmarkEnd w:id="26"/>
      <w:bookmarkEnd w:id="27"/>
    </w:p>
    <w:p w14:paraId="022295FF" w14:textId="77777777" w:rsidR="006667B2" w:rsidRDefault="006667B2" w:rsidP="00AE17BC">
      <w:pPr>
        <w:rPr>
          <w:rFonts w:cs="Arial"/>
          <w:szCs w:val="22"/>
        </w:rPr>
      </w:pPr>
    </w:p>
    <w:p w14:paraId="03E10DD0" w14:textId="6208CF1D" w:rsidR="006667B2" w:rsidRDefault="006667B2" w:rsidP="00AE17BC">
      <w:pPr>
        <w:pStyle w:val="CDBGBODYSTYLE"/>
        <w:spacing w:line="240" w:lineRule="auto"/>
      </w:pPr>
      <w:r>
        <w:t>The Grant Recipient must determine the most appropriate level of review for the TxCDBG funded project</w:t>
      </w:r>
      <w:r w:rsidR="002655B0">
        <w:t>, s</w:t>
      </w:r>
      <w:r w:rsidRPr="0096321E">
        <w:t xml:space="preserve">ee </w:t>
      </w:r>
      <w:r w:rsidRPr="002531C6">
        <w:rPr>
          <w:i/>
          <w:iCs/>
        </w:rPr>
        <w:t>Summary of Levels of Environmental Review and Documentation Required in ERR</w:t>
      </w:r>
      <w:r>
        <w:t xml:space="preserve"> (</w:t>
      </w:r>
      <w:r w:rsidRPr="002531C6">
        <w:rPr>
          <w:b/>
          <w:bCs/>
        </w:rPr>
        <w:t>Form A309).</w:t>
      </w:r>
      <w:r>
        <w:t xml:space="preserve"> </w:t>
      </w:r>
      <w:r w:rsidRPr="002A6BB5">
        <w:t xml:space="preserve">It is critical that the project </w:t>
      </w:r>
      <w:r w:rsidR="002345CC" w:rsidRPr="002A6BB5">
        <w:t>receives</w:t>
      </w:r>
      <w:r w:rsidRPr="002A6BB5">
        <w:t xml:space="preserve"> an adequate review to meet statutory requirements; however,</w:t>
      </w:r>
      <w:r>
        <w:t xml:space="preserve"> it is not appropriate to require</w:t>
      </w:r>
      <w:r w:rsidRPr="002A6BB5">
        <w:t xml:space="preserve"> reviews that exceed the statutory guidance</w:t>
      </w:r>
      <w:r>
        <w:t>.</w:t>
      </w:r>
    </w:p>
    <w:p w14:paraId="6BDBA48D" w14:textId="77777777" w:rsidR="006667B2" w:rsidRDefault="006667B2" w:rsidP="00AE17BC">
      <w:pPr>
        <w:pStyle w:val="CDBGBODYSTYLE"/>
        <w:spacing w:line="240" w:lineRule="auto"/>
      </w:pPr>
    </w:p>
    <w:p w14:paraId="6444AAB3" w14:textId="05546AD7" w:rsidR="006667B2" w:rsidRPr="00DA0BFE" w:rsidRDefault="006667B2" w:rsidP="00AE17BC">
      <w:pPr>
        <w:pStyle w:val="CDBGBODYSTYLE"/>
        <w:spacing w:line="240" w:lineRule="auto"/>
      </w:pPr>
      <w:r w:rsidRPr="00DA0BFE">
        <w:t xml:space="preserve">For information regarding level of review for environmental, please refer to the HUD’s resources and guides on environmental review located </w:t>
      </w:r>
      <w:r w:rsidR="00DA0BFE" w:rsidRPr="00DA0BFE">
        <w:t xml:space="preserve">at </w:t>
      </w:r>
      <w:hyperlink r:id="rId11" w:history="1">
        <w:r w:rsidR="00DA0BFE" w:rsidRPr="00DA0BFE">
          <w:rPr>
            <w:rStyle w:val="Hyperlink"/>
            <w:b w:val="0"/>
            <w:bCs w:val="0"/>
            <w:color w:val="auto"/>
          </w:rPr>
          <w:t>www.HUDExchange.info</w:t>
        </w:r>
      </w:hyperlink>
      <w:r w:rsidRPr="00DA0BFE">
        <w:rPr>
          <w:b/>
          <w:bCs/>
        </w:rPr>
        <w:t xml:space="preserve">. </w:t>
      </w:r>
    </w:p>
    <w:p w14:paraId="39557EE7" w14:textId="77777777" w:rsidR="006667B2" w:rsidRPr="00F156AE" w:rsidRDefault="006667B2" w:rsidP="00AE17BC">
      <w:pPr>
        <w:rPr>
          <w:rFonts w:cs="Arial"/>
          <w:szCs w:val="22"/>
        </w:rPr>
      </w:pPr>
    </w:p>
    <w:p w14:paraId="1FF230A6" w14:textId="7EEF9467" w:rsidR="006667B2" w:rsidRPr="00AC2557" w:rsidRDefault="006667B2" w:rsidP="00AE17BC">
      <w:pPr>
        <w:pStyle w:val="CDBGBODYSTYLE"/>
        <w:spacing w:line="240" w:lineRule="auto"/>
        <w:rPr>
          <w:b/>
          <w:bCs/>
        </w:rPr>
      </w:pPr>
      <w:r w:rsidRPr="00C24BD9">
        <w:t xml:space="preserve">The Grant Recipient should determine the appropriate level of review, which </w:t>
      </w:r>
      <w:r>
        <w:t>TDA will confirm</w:t>
      </w:r>
      <w:r w:rsidRPr="00C24BD9">
        <w:t xml:space="preserve"> or</w:t>
      </w:r>
      <w:r>
        <w:t xml:space="preserve"> require to be</w:t>
      </w:r>
      <w:r w:rsidRPr="00C24BD9">
        <w:t xml:space="preserve"> adjusted as</w:t>
      </w:r>
      <w:r>
        <w:t xml:space="preserve"> the</w:t>
      </w:r>
      <w:r w:rsidRPr="00C24BD9">
        <w:t xml:space="preserve"> review process</w:t>
      </w:r>
      <w:r>
        <w:t xml:space="preserve"> progresses</w:t>
      </w:r>
      <w:r w:rsidRPr="00C24BD9">
        <w:t>.</w:t>
      </w:r>
      <w:r>
        <w:t xml:space="preserve"> </w:t>
      </w:r>
      <w:r w:rsidRPr="00C24BD9">
        <w:t xml:space="preserve">Three </w:t>
      </w:r>
      <w:r>
        <w:t>regulations</w:t>
      </w:r>
      <w:r w:rsidRPr="00C24BD9">
        <w:t xml:space="preserve"> identify activities that fall under review levels less than the Environmental </w:t>
      </w:r>
      <w:r w:rsidRPr="0096321E">
        <w:t>Assessment</w:t>
      </w:r>
      <w:r>
        <w:t xml:space="preserve">. </w:t>
      </w:r>
      <w:r w:rsidRPr="0096321E">
        <w:t xml:space="preserve">See also </w:t>
      </w:r>
      <w:r w:rsidRPr="00435CBC">
        <w:rPr>
          <w:i/>
          <w:iCs/>
        </w:rPr>
        <w:t xml:space="preserve">Summary of Levels of Environmental Review </w:t>
      </w:r>
      <w:r>
        <w:rPr>
          <w:i/>
          <w:iCs/>
        </w:rPr>
        <w:t>and</w:t>
      </w:r>
      <w:r w:rsidRPr="00435CBC">
        <w:rPr>
          <w:i/>
          <w:iCs/>
        </w:rPr>
        <w:t xml:space="preserve"> Documentation Required in ERR</w:t>
      </w:r>
      <w:r>
        <w:t xml:space="preserve"> </w:t>
      </w:r>
      <w:r w:rsidRPr="00435CBC">
        <w:rPr>
          <w:b/>
          <w:bCs/>
        </w:rPr>
        <w:t xml:space="preserve">(Form A309). </w:t>
      </w:r>
    </w:p>
    <w:p w14:paraId="294103C8" w14:textId="77777777" w:rsidR="006667B2" w:rsidRPr="0096321E" w:rsidRDefault="006667B2" w:rsidP="00AE17BC">
      <w:pPr>
        <w:rPr>
          <w:rFonts w:cs="Arial"/>
          <w:szCs w:val="22"/>
        </w:rPr>
      </w:pPr>
    </w:p>
    <w:p w14:paraId="3E3AE154" w14:textId="77777777" w:rsidR="006667B2" w:rsidRPr="0001718E" w:rsidRDefault="006667B2" w:rsidP="00DA0BFE">
      <w:pPr>
        <w:numPr>
          <w:ilvl w:val="0"/>
          <w:numId w:val="3"/>
        </w:numPr>
        <w:tabs>
          <w:tab w:val="left" w:pos="0"/>
          <w:tab w:val="left" w:pos="450"/>
        </w:tabs>
        <w:ind w:left="0" w:firstLine="0"/>
        <w:rPr>
          <w:rFonts w:cs="Arial"/>
          <w:b/>
          <w:szCs w:val="22"/>
        </w:rPr>
      </w:pPr>
      <w:r w:rsidRPr="0001718E">
        <w:rPr>
          <w:rFonts w:cs="Arial"/>
          <w:b/>
          <w:szCs w:val="22"/>
        </w:rPr>
        <w:t>24 CFR §58.34: Exemption</w:t>
      </w:r>
    </w:p>
    <w:p w14:paraId="73E32CE7" w14:textId="068806D2" w:rsidR="006667B2" w:rsidRPr="0096321E" w:rsidRDefault="006667B2" w:rsidP="00AE17BC">
      <w:pPr>
        <w:pStyle w:val="CDBGBODYSTYLE"/>
        <w:spacing w:line="240" w:lineRule="auto"/>
      </w:pPr>
      <w:r w:rsidRPr="0096321E">
        <w:t>Certain activities are</w:t>
      </w:r>
      <w:r>
        <w:t>,</w:t>
      </w:r>
      <w:r w:rsidRPr="0096321E">
        <w:t xml:space="preserve"> by their nature</w:t>
      </w:r>
      <w:r>
        <w:t>,</w:t>
      </w:r>
      <w:r w:rsidRPr="0096321E">
        <w:t xml:space="preserve"> highly unlikely to have any direct impact on the environment. Accordingly, these activities are not subject to most of the procedural requirements of environmental review. Listed below are examples which may </w:t>
      </w:r>
      <w:r>
        <w:t>qualify for an Exempt Level Environmental Review</w:t>
      </w:r>
      <w:r w:rsidRPr="0096321E">
        <w:t>. For complete details</w:t>
      </w:r>
      <w:r w:rsidR="00A244E5">
        <w:t>,</w:t>
      </w:r>
      <w:r w:rsidRPr="0096321E">
        <w:t xml:space="preserve"> refer to the environmental regulations.</w:t>
      </w:r>
    </w:p>
    <w:p w14:paraId="6D3E8E81"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Environmental and other </w:t>
      </w:r>
      <w:proofErr w:type="gramStart"/>
      <w:r w:rsidRPr="0096321E">
        <w:rPr>
          <w:rFonts w:cs="Arial"/>
          <w:szCs w:val="22"/>
        </w:rPr>
        <w:t>studies;</w:t>
      </w:r>
      <w:proofErr w:type="gramEnd"/>
      <w:r w:rsidRPr="0096321E">
        <w:rPr>
          <w:rFonts w:cs="Arial"/>
          <w:szCs w:val="22"/>
        </w:rPr>
        <w:t xml:space="preserve"> </w:t>
      </w:r>
    </w:p>
    <w:p w14:paraId="13EDDCFB" w14:textId="77777777" w:rsidR="006667B2" w:rsidRDefault="006667B2" w:rsidP="00AE17BC">
      <w:pPr>
        <w:numPr>
          <w:ilvl w:val="1"/>
          <w:numId w:val="9"/>
        </w:numPr>
        <w:tabs>
          <w:tab w:val="left" w:pos="0"/>
        </w:tabs>
        <w:ind w:left="720"/>
        <w:rPr>
          <w:rFonts w:cs="Arial"/>
          <w:szCs w:val="22"/>
        </w:rPr>
      </w:pPr>
      <w:r w:rsidRPr="0096321E">
        <w:rPr>
          <w:rFonts w:cs="Arial"/>
          <w:szCs w:val="22"/>
        </w:rPr>
        <w:t xml:space="preserve">Information and financial </w:t>
      </w:r>
      <w:proofErr w:type="gramStart"/>
      <w:r w:rsidRPr="0096321E">
        <w:rPr>
          <w:rFonts w:cs="Arial"/>
          <w:szCs w:val="22"/>
        </w:rPr>
        <w:t>services;</w:t>
      </w:r>
      <w:proofErr w:type="gramEnd"/>
      <w:r w:rsidRPr="0096321E">
        <w:rPr>
          <w:rFonts w:cs="Arial"/>
          <w:szCs w:val="22"/>
        </w:rPr>
        <w:t xml:space="preserve"> </w:t>
      </w:r>
    </w:p>
    <w:p w14:paraId="2743553D" w14:textId="544C8CE7" w:rsidR="006667B2" w:rsidRDefault="003D4020" w:rsidP="00AE17BC">
      <w:pPr>
        <w:numPr>
          <w:ilvl w:val="1"/>
          <w:numId w:val="9"/>
        </w:numPr>
        <w:tabs>
          <w:tab w:val="left" w:pos="0"/>
        </w:tabs>
        <w:ind w:left="720"/>
        <w:rPr>
          <w:rFonts w:cs="Arial"/>
          <w:szCs w:val="22"/>
        </w:rPr>
      </w:pPr>
      <w:r>
        <w:rPr>
          <w:rFonts w:cs="Arial"/>
          <w:szCs w:val="22"/>
        </w:rPr>
        <w:t>Administration</w:t>
      </w:r>
      <w:r w:rsidRPr="0096321E">
        <w:rPr>
          <w:rFonts w:cs="Arial"/>
          <w:szCs w:val="22"/>
        </w:rPr>
        <w:t xml:space="preserve"> </w:t>
      </w:r>
      <w:r w:rsidR="006667B2" w:rsidRPr="0096321E">
        <w:rPr>
          <w:rFonts w:cs="Arial"/>
          <w:szCs w:val="22"/>
        </w:rPr>
        <w:t xml:space="preserve">and management </w:t>
      </w:r>
      <w:proofErr w:type="gramStart"/>
      <w:r w:rsidR="006667B2" w:rsidRPr="0096321E">
        <w:rPr>
          <w:rFonts w:cs="Arial"/>
          <w:szCs w:val="22"/>
        </w:rPr>
        <w:t>activities;</w:t>
      </w:r>
      <w:proofErr w:type="gramEnd"/>
      <w:r w:rsidR="006667B2" w:rsidRPr="0096321E">
        <w:rPr>
          <w:rFonts w:cs="Arial"/>
          <w:szCs w:val="22"/>
        </w:rPr>
        <w:t xml:space="preserve">  </w:t>
      </w:r>
    </w:p>
    <w:p w14:paraId="5D29C6A5"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Engineering and design </w:t>
      </w:r>
      <w:proofErr w:type="gramStart"/>
      <w:r w:rsidRPr="0096321E">
        <w:rPr>
          <w:rFonts w:cs="Arial"/>
          <w:szCs w:val="22"/>
        </w:rPr>
        <w:t>costs;</w:t>
      </w:r>
      <w:proofErr w:type="gramEnd"/>
      <w:r w:rsidRPr="0096321E">
        <w:rPr>
          <w:rFonts w:cs="Arial"/>
          <w:szCs w:val="22"/>
        </w:rPr>
        <w:t xml:space="preserve"> </w:t>
      </w:r>
    </w:p>
    <w:p w14:paraId="26B69EB4"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Interim assistance (emergency) activities if the assisted activities do not alter environmental conditions and are for temporary or permanent improvements limited to protection, repair or restoration actions necessary only to control or arrest the effects of disasters or imminent threats to public safety or those resulting from physical </w:t>
      </w:r>
      <w:proofErr w:type="gramStart"/>
      <w:r w:rsidRPr="0096321E">
        <w:rPr>
          <w:rFonts w:cs="Arial"/>
          <w:szCs w:val="22"/>
        </w:rPr>
        <w:t>deterioration;</w:t>
      </w:r>
      <w:proofErr w:type="gramEnd"/>
      <w:r w:rsidRPr="0096321E">
        <w:rPr>
          <w:rFonts w:cs="Arial"/>
          <w:szCs w:val="22"/>
        </w:rPr>
        <w:t xml:space="preserve"> </w:t>
      </w:r>
    </w:p>
    <w:p w14:paraId="46F33569" w14:textId="77777777" w:rsidR="006667B2" w:rsidRPr="0096321E" w:rsidRDefault="006667B2" w:rsidP="00AE17BC">
      <w:pPr>
        <w:numPr>
          <w:ilvl w:val="1"/>
          <w:numId w:val="9"/>
        </w:numPr>
        <w:tabs>
          <w:tab w:val="left" w:pos="0"/>
        </w:tabs>
        <w:ind w:left="720" w:right="-324"/>
        <w:rPr>
          <w:rFonts w:cs="Arial"/>
          <w:szCs w:val="22"/>
        </w:rPr>
      </w:pPr>
      <w:r w:rsidRPr="0096321E">
        <w:rPr>
          <w:rFonts w:cs="Arial"/>
          <w:szCs w:val="22"/>
        </w:rPr>
        <w:t xml:space="preserve">Public service activities that will not have a physical impact or result in any physical </w:t>
      </w:r>
      <w:proofErr w:type="gramStart"/>
      <w:r w:rsidRPr="0096321E">
        <w:rPr>
          <w:rFonts w:cs="Arial"/>
          <w:szCs w:val="22"/>
        </w:rPr>
        <w:t>changes;</w:t>
      </w:r>
      <w:proofErr w:type="gramEnd"/>
      <w:r w:rsidRPr="0096321E">
        <w:rPr>
          <w:rFonts w:cs="Arial"/>
          <w:szCs w:val="22"/>
        </w:rPr>
        <w:t xml:space="preserve"> </w:t>
      </w:r>
    </w:p>
    <w:p w14:paraId="7B54C4B3"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Inspections and testing of properties for hazards or </w:t>
      </w:r>
      <w:proofErr w:type="gramStart"/>
      <w:r w:rsidRPr="0096321E">
        <w:rPr>
          <w:rFonts w:cs="Arial"/>
          <w:szCs w:val="22"/>
        </w:rPr>
        <w:t>defects;</w:t>
      </w:r>
      <w:proofErr w:type="gramEnd"/>
      <w:r w:rsidRPr="0096321E">
        <w:rPr>
          <w:rFonts w:cs="Arial"/>
          <w:szCs w:val="22"/>
        </w:rPr>
        <w:t xml:space="preserve"> </w:t>
      </w:r>
    </w:p>
    <w:p w14:paraId="7E0AF2C5"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Purchase of tools or </w:t>
      </w:r>
      <w:proofErr w:type="gramStart"/>
      <w:r w:rsidRPr="0096321E">
        <w:rPr>
          <w:rFonts w:cs="Arial"/>
          <w:szCs w:val="22"/>
        </w:rPr>
        <w:t>insurance;</w:t>
      </w:r>
      <w:proofErr w:type="gramEnd"/>
      <w:r w:rsidRPr="0096321E">
        <w:rPr>
          <w:rFonts w:cs="Arial"/>
          <w:szCs w:val="22"/>
        </w:rPr>
        <w:t xml:space="preserve"> </w:t>
      </w:r>
    </w:p>
    <w:p w14:paraId="05107791" w14:textId="77777777" w:rsidR="006667B2" w:rsidRDefault="006667B2" w:rsidP="00AE17BC">
      <w:pPr>
        <w:numPr>
          <w:ilvl w:val="1"/>
          <w:numId w:val="9"/>
        </w:numPr>
        <w:tabs>
          <w:tab w:val="left" w:pos="0"/>
        </w:tabs>
        <w:ind w:left="720"/>
        <w:rPr>
          <w:rFonts w:cs="Arial"/>
          <w:szCs w:val="22"/>
        </w:rPr>
      </w:pPr>
      <w:r w:rsidRPr="0096321E">
        <w:rPr>
          <w:rFonts w:cs="Arial"/>
          <w:szCs w:val="22"/>
        </w:rPr>
        <w:t xml:space="preserve">Technical assistance or </w:t>
      </w:r>
      <w:proofErr w:type="gramStart"/>
      <w:r w:rsidRPr="0096321E">
        <w:rPr>
          <w:rFonts w:cs="Arial"/>
          <w:szCs w:val="22"/>
        </w:rPr>
        <w:t>training;</w:t>
      </w:r>
      <w:proofErr w:type="gramEnd"/>
      <w:r w:rsidRPr="0096321E">
        <w:rPr>
          <w:rFonts w:cs="Arial"/>
          <w:szCs w:val="22"/>
        </w:rPr>
        <w:t xml:space="preserve"> </w:t>
      </w:r>
    </w:p>
    <w:p w14:paraId="63C79CDD" w14:textId="77777777" w:rsidR="006667B2" w:rsidRPr="0096321E" w:rsidRDefault="006667B2" w:rsidP="00AE17BC">
      <w:pPr>
        <w:numPr>
          <w:ilvl w:val="1"/>
          <w:numId w:val="9"/>
        </w:numPr>
        <w:tabs>
          <w:tab w:val="left" w:pos="0"/>
        </w:tabs>
        <w:ind w:left="720"/>
        <w:rPr>
          <w:rFonts w:cs="Arial"/>
          <w:szCs w:val="22"/>
        </w:rPr>
      </w:pPr>
      <w:r w:rsidRPr="0096321E">
        <w:rPr>
          <w:rFonts w:cs="Arial"/>
          <w:szCs w:val="22"/>
        </w:rPr>
        <w:t xml:space="preserve">Payment of principal and interest on loans made or guaranteed by HUD; and </w:t>
      </w:r>
    </w:p>
    <w:p w14:paraId="7BD9A40C" w14:textId="77777777" w:rsidR="006667B2" w:rsidRPr="00973BD0" w:rsidRDefault="006667B2" w:rsidP="00AE17BC">
      <w:pPr>
        <w:numPr>
          <w:ilvl w:val="1"/>
          <w:numId w:val="9"/>
        </w:numPr>
        <w:tabs>
          <w:tab w:val="left" w:pos="0"/>
        </w:tabs>
        <w:ind w:left="720"/>
        <w:rPr>
          <w:rFonts w:cs="Arial"/>
          <w:szCs w:val="22"/>
        </w:rPr>
      </w:pPr>
      <w:r w:rsidRPr="0096321E">
        <w:rPr>
          <w:rFonts w:cs="Arial"/>
          <w:szCs w:val="22"/>
        </w:rPr>
        <w:t xml:space="preserve">Any of the categorically excluded activities subject to </w:t>
      </w:r>
      <w:r>
        <w:rPr>
          <w:rFonts w:cs="Arial"/>
          <w:szCs w:val="22"/>
        </w:rPr>
        <w:t xml:space="preserve">Section </w:t>
      </w:r>
      <w:r w:rsidRPr="0096321E">
        <w:rPr>
          <w:rFonts w:cs="Arial"/>
          <w:szCs w:val="22"/>
        </w:rPr>
        <w:t>58.5 as listed in 58.35(a)</w:t>
      </w:r>
      <w:r>
        <w:rPr>
          <w:rFonts w:cs="Arial"/>
          <w:szCs w:val="22"/>
        </w:rPr>
        <w:t>,</w:t>
      </w:r>
      <w:r w:rsidRPr="0096321E">
        <w:rPr>
          <w:rFonts w:cs="Arial"/>
          <w:szCs w:val="22"/>
        </w:rPr>
        <w:t xml:space="preserve"> provided there are no circumstances which require compliance with any other Federal laws and authorities listed </w:t>
      </w:r>
      <w:r>
        <w:rPr>
          <w:rFonts w:cs="Arial"/>
          <w:szCs w:val="22"/>
        </w:rPr>
        <w:t>in</w:t>
      </w:r>
      <w:r w:rsidRPr="0096321E">
        <w:rPr>
          <w:rFonts w:cs="Arial"/>
          <w:szCs w:val="22"/>
        </w:rPr>
        <w:t xml:space="preserve"> </w:t>
      </w:r>
      <w:r>
        <w:rPr>
          <w:rFonts w:cs="Arial"/>
          <w:szCs w:val="22"/>
        </w:rPr>
        <w:t xml:space="preserve">Section </w:t>
      </w:r>
      <w:r w:rsidRPr="0096321E">
        <w:rPr>
          <w:rFonts w:cs="Arial"/>
          <w:szCs w:val="22"/>
        </w:rPr>
        <w:t>58.5 of the regulations.</w:t>
      </w:r>
      <w:r>
        <w:rPr>
          <w:rFonts w:cs="Arial"/>
          <w:szCs w:val="22"/>
        </w:rPr>
        <w:t xml:space="preserve"> For instance, projects located in one of the following areas cannot qualify for conversion to the Exempt level of review:</w:t>
      </w:r>
    </w:p>
    <w:p w14:paraId="6777516D" w14:textId="23F7CCEC" w:rsidR="006667B2" w:rsidRPr="00154BF3" w:rsidRDefault="006667B2" w:rsidP="00AE17BC">
      <w:pPr>
        <w:numPr>
          <w:ilvl w:val="1"/>
          <w:numId w:val="38"/>
        </w:numPr>
        <w:rPr>
          <w:bCs/>
        </w:rPr>
      </w:pPr>
      <w:r>
        <w:rPr>
          <w:rFonts w:cs="Arial"/>
          <w:bCs/>
          <w:szCs w:val="22"/>
        </w:rPr>
        <w:t>A</w:t>
      </w:r>
      <w:r w:rsidRPr="00154BF3">
        <w:rPr>
          <w:rFonts w:cs="Arial"/>
          <w:bCs/>
          <w:szCs w:val="22"/>
        </w:rPr>
        <w:t xml:space="preserve"> floodplain </w:t>
      </w:r>
      <w:r w:rsidRPr="00CC2E2E">
        <w:rPr>
          <w:rFonts w:cs="Arial"/>
          <w:bCs/>
          <w:color w:val="2F5496" w:themeColor="accent1" w:themeShade="BF"/>
          <w:szCs w:val="22"/>
        </w:rPr>
        <w:t>(</w:t>
      </w:r>
      <w:r w:rsidR="00765F4A" w:rsidRPr="00CC2E2E">
        <w:rPr>
          <w:rFonts w:cs="Arial"/>
          <w:bCs/>
          <w:color w:val="2F5496" w:themeColor="accent1" w:themeShade="BF"/>
          <w:szCs w:val="22"/>
        </w:rPr>
        <w:t xml:space="preserve">which triggers the </w:t>
      </w:r>
      <w:proofErr w:type="gramStart"/>
      <w:r w:rsidR="00765F4A" w:rsidRPr="00CC2E2E">
        <w:rPr>
          <w:rFonts w:cs="Arial"/>
          <w:bCs/>
          <w:color w:val="2F5496" w:themeColor="accent1" w:themeShade="BF"/>
          <w:szCs w:val="22"/>
        </w:rPr>
        <w:t>decision making</w:t>
      </w:r>
      <w:proofErr w:type="gramEnd"/>
      <w:r w:rsidR="00765F4A" w:rsidRPr="00CC2E2E">
        <w:rPr>
          <w:rFonts w:cs="Arial"/>
          <w:bCs/>
          <w:color w:val="2F5496" w:themeColor="accent1" w:themeShade="BF"/>
          <w:szCs w:val="22"/>
        </w:rPr>
        <w:t xml:space="preserve"> steps found in §55.20</w:t>
      </w:r>
      <w:r w:rsidRPr="00CC2E2E">
        <w:rPr>
          <w:rFonts w:cs="Arial"/>
          <w:bCs/>
          <w:color w:val="2F5496" w:themeColor="accent1" w:themeShade="BF"/>
          <w:szCs w:val="22"/>
        </w:rPr>
        <w:t>);</w:t>
      </w:r>
    </w:p>
    <w:p w14:paraId="677BA02E" w14:textId="77777777" w:rsidR="006667B2" w:rsidRPr="00154BF3" w:rsidRDefault="006667B2" w:rsidP="00AE17BC">
      <w:pPr>
        <w:numPr>
          <w:ilvl w:val="1"/>
          <w:numId w:val="38"/>
        </w:numPr>
        <w:rPr>
          <w:bCs/>
        </w:rPr>
      </w:pPr>
      <w:r>
        <w:rPr>
          <w:rFonts w:cs="Arial"/>
          <w:bCs/>
          <w:szCs w:val="22"/>
        </w:rPr>
        <w:t>A</w:t>
      </w:r>
      <w:r w:rsidRPr="00154BF3">
        <w:rPr>
          <w:rFonts w:cs="Arial"/>
          <w:bCs/>
          <w:szCs w:val="22"/>
        </w:rPr>
        <w:t xml:space="preserve"> known critical habitat for endangered </w:t>
      </w:r>
      <w:proofErr w:type="gramStart"/>
      <w:r w:rsidRPr="00154BF3">
        <w:rPr>
          <w:rFonts w:cs="Arial"/>
          <w:bCs/>
          <w:szCs w:val="22"/>
        </w:rPr>
        <w:t>species</w:t>
      </w:r>
      <w:r>
        <w:rPr>
          <w:rFonts w:cs="Arial"/>
          <w:bCs/>
          <w:szCs w:val="22"/>
        </w:rPr>
        <w:t>;</w:t>
      </w:r>
      <w:proofErr w:type="gramEnd"/>
    </w:p>
    <w:p w14:paraId="0CBCFFE6" w14:textId="77777777" w:rsidR="006667B2" w:rsidRPr="00154BF3" w:rsidRDefault="006667B2" w:rsidP="00AE17BC">
      <w:pPr>
        <w:numPr>
          <w:ilvl w:val="1"/>
          <w:numId w:val="38"/>
        </w:numPr>
        <w:rPr>
          <w:bCs/>
        </w:rPr>
      </w:pPr>
      <w:r>
        <w:rPr>
          <w:rFonts w:cs="Arial"/>
          <w:bCs/>
          <w:szCs w:val="22"/>
        </w:rPr>
        <w:t>A</w:t>
      </w:r>
      <w:r w:rsidRPr="00154BF3">
        <w:rPr>
          <w:rFonts w:cs="Arial"/>
          <w:bCs/>
          <w:szCs w:val="22"/>
        </w:rPr>
        <w:t xml:space="preserve"> historic property</w:t>
      </w:r>
      <w:r>
        <w:rPr>
          <w:rFonts w:cs="Arial"/>
          <w:bCs/>
          <w:szCs w:val="22"/>
        </w:rPr>
        <w:t>;</w:t>
      </w:r>
      <w:r w:rsidRPr="00154BF3">
        <w:rPr>
          <w:rFonts w:cs="Arial"/>
          <w:bCs/>
          <w:szCs w:val="22"/>
        </w:rPr>
        <w:t xml:space="preserve"> or </w:t>
      </w:r>
    </w:p>
    <w:p w14:paraId="49B1BF58" w14:textId="77777777" w:rsidR="006667B2" w:rsidRPr="00154BF3" w:rsidRDefault="006667B2" w:rsidP="00AE17BC">
      <w:pPr>
        <w:numPr>
          <w:ilvl w:val="1"/>
          <w:numId w:val="38"/>
        </w:numPr>
        <w:rPr>
          <w:bCs/>
        </w:rPr>
      </w:pPr>
      <w:r>
        <w:rPr>
          <w:rFonts w:cs="Arial"/>
          <w:bCs/>
          <w:szCs w:val="22"/>
        </w:rPr>
        <w:t>A</w:t>
      </w:r>
      <w:r w:rsidRPr="00154BF3">
        <w:rPr>
          <w:rFonts w:cs="Arial"/>
          <w:bCs/>
          <w:szCs w:val="22"/>
        </w:rPr>
        <w:t xml:space="preserve"> known hazardous site. </w:t>
      </w:r>
    </w:p>
    <w:p w14:paraId="430673ED" w14:textId="77777777" w:rsidR="006667B2" w:rsidRDefault="006667B2" w:rsidP="00AE17BC">
      <w:pPr>
        <w:rPr>
          <w:b/>
        </w:rPr>
      </w:pPr>
    </w:p>
    <w:p w14:paraId="699A2695" w14:textId="1BA33C15" w:rsidR="006667B2" w:rsidRPr="00147DB2" w:rsidRDefault="006667B2" w:rsidP="00DA0BFE">
      <w:pPr>
        <w:pStyle w:val="ListParagraph"/>
        <w:numPr>
          <w:ilvl w:val="0"/>
          <w:numId w:val="3"/>
        </w:numPr>
        <w:tabs>
          <w:tab w:val="left" w:pos="450"/>
        </w:tabs>
        <w:ind w:left="0" w:firstLine="0"/>
        <w:rPr>
          <w:rFonts w:cs="Arial"/>
          <w:b/>
        </w:rPr>
      </w:pPr>
      <w:r w:rsidRPr="00147DB2">
        <w:rPr>
          <w:rFonts w:cs="Arial"/>
          <w:b/>
        </w:rPr>
        <w:t>24 CFR §58.35(b) Categorically Excluded, Not Subject To §58.5 (CENST)</w:t>
      </w:r>
    </w:p>
    <w:p w14:paraId="59C71A03" w14:textId="77777777" w:rsidR="006667B2" w:rsidRPr="0096321E" w:rsidRDefault="006667B2" w:rsidP="00AE17BC">
      <w:pPr>
        <w:pStyle w:val="CDBGBODYSTYLE"/>
        <w:spacing w:line="240" w:lineRule="auto"/>
      </w:pPr>
      <w:r w:rsidRPr="0096321E">
        <w:t xml:space="preserve">The following activities, listed at 24 CFR </w:t>
      </w:r>
      <w:r>
        <w:t>Section</w:t>
      </w:r>
      <w:r w:rsidRPr="0096321E">
        <w:t xml:space="preserve"> 58.35(b), have been determined to be categorically </w:t>
      </w:r>
      <w:r w:rsidRPr="00FD6455">
        <w:rPr>
          <w:b/>
          <w:bCs/>
        </w:rPr>
        <w:t>excluded</w:t>
      </w:r>
      <w:r w:rsidRPr="0096321E">
        <w:t xml:space="preserve"> </w:t>
      </w:r>
      <w:r>
        <w:t xml:space="preserve">in accordance with </w:t>
      </w:r>
      <w:r w:rsidRPr="00207531">
        <w:t>National Environmental Policy Act</w:t>
      </w:r>
      <w:r w:rsidRPr="0096321E">
        <w:t xml:space="preserve"> </w:t>
      </w:r>
      <w:r>
        <w:t>(</w:t>
      </w:r>
      <w:r w:rsidRPr="0096321E">
        <w:t>NEPA</w:t>
      </w:r>
      <w:r>
        <w:t>)</w:t>
      </w:r>
      <w:r w:rsidRPr="0096321E">
        <w:t xml:space="preserve"> requirements and are not subject to 24 CFR </w:t>
      </w:r>
      <w:r>
        <w:t>§</w:t>
      </w:r>
      <w:r w:rsidRPr="0096321E">
        <w:t>58.5 compliance determination</w:t>
      </w:r>
      <w:r>
        <w:t>s:</w:t>
      </w:r>
    </w:p>
    <w:p w14:paraId="463DD6E8" w14:textId="77777777" w:rsidR="006667B2" w:rsidRPr="0096321E" w:rsidRDefault="006667B2" w:rsidP="00AE17BC">
      <w:pPr>
        <w:numPr>
          <w:ilvl w:val="1"/>
          <w:numId w:val="11"/>
        </w:numPr>
        <w:ind w:left="720"/>
        <w:rPr>
          <w:rFonts w:cs="Arial"/>
          <w:szCs w:val="22"/>
        </w:rPr>
      </w:pPr>
      <w:r w:rsidRPr="0096321E">
        <w:rPr>
          <w:rFonts w:cs="Arial"/>
          <w:szCs w:val="22"/>
        </w:rPr>
        <w:t>Tenant</w:t>
      </w:r>
      <w:r>
        <w:rPr>
          <w:rFonts w:cs="Arial"/>
          <w:szCs w:val="22"/>
        </w:rPr>
        <w:t>-</w:t>
      </w:r>
      <w:r w:rsidRPr="0096321E">
        <w:rPr>
          <w:rFonts w:cs="Arial"/>
          <w:szCs w:val="22"/>
        </w:rPr>
        <w:t xml:space="preserve">based rental </w:t>
      </w:r>
      <w:proofErr w:type="gramStart"/>
      <w:r w:rsidRPr="00F33217">
        <w:rPr>
          <w:rFonts w:cs="Arial"/>
          <w:color w:val="000000"/>
          <w:szCs w:val="22"/>
        </w:rPr>
        <w:t>assistance</w:t>
      </w:r>
      <w:r w:rsidRPr="0096321E">
        <w:rPr>
          <w:rFonts w:cs="Arial"/>
          <w:szCs w:val="22"/>
        </w:rPr>
        <w:t>;</w:t>
      </w:r>
      <w:proofErr w:type="gramEnd"/>
    </w:p>
    <w:p w14:paraId="4D6A58BF" w14:textId="77777777" w:rsidR="006667B2" w:rsidRPr="0096321E" w:rsidRDefault="006667B2" w:rsidP="00AE17BC">
      <w:pPr>
        <w:numPr>
          <w:ilvl w:val="1"/>
          <w:numId w:val="11"/>
        </w:numPr>
        <w:ind w:left="720"/>
        <w:rPr>
          <w:rFonts w:cs="Arial"/>
          <w:szCs w:val="22"/>
        </w:rPr>
      </w:pPr>
      <w:r w:rsidRPr="0096321E">
        <w:rPr>
          <w:rFonts w:cs="Arial"/>
          <w:szCs w:val="22"/>
        </w:rPr>
        <w:t>Supportive services including but not limited to health care, housing services, permanent housing placement, short</w:t>
      </w:r>
      <w:r>
        <w:rPr>
          <w:rFonts w:cs="Arial"/>
          <w:szCs w:val="22"/>
        </w:rPr>
        <w:t>-</w:t>
      </w:r>
      <w:r w:rsidRPr="0096321E">
        <w:rPr>
          <w:rFonts w:cs="Arial"/>
          <w:szCs w:val="22"/>
        </w:rPr>
        <w:t>term payments for rent/mortgage/utility costs, and assistance in gaining access to local</w:t>
      </w:r>
      <w:r>
        <w:rPr>
          <w:rFonts w:cs="Arial"/>
          <w:szCs w:val="22"/>
        </w:rPr>
        <w:t>, s</w:t>
      </w:r>
      <w:r w:rsidRPr="0096321E">
        <w:rPr>
          <w:rFonts w:cs="Arial"/>
          <w:szCs w:val="22"/>
        </w:rPr>
        <w:t>tate</w:t>
      </w:r>
      <w:r>
        <w:rPr>
          <w:rFonts w:cs="Arial"/>
          <w:szCs w:val="22"/>
        </w:rPr>
        <w:t>,</w:t>
      </w:r>
      <w:r w:rsidRPr="0096321E">
        <w:rPr>
          <w:rFonts w:cs="Arial"/>
          <w:szCs w:val="22"/>
        </w:rPr>
        <w:t xml:space="preserve"> and </w:t>
      </w:r>
      <w:r>
        <w:rPr>
          <w:rFonts w:cs="Arial"/>
          <w:szCs w:val="22"/>
        </w:rPr>
        <w:t>f</w:t>
      </w:r>
      <w:r w:rsidRPr="0096321E">
        <w:rPr>
          <w:rFonts w:cs="Arial"/>
          <w:szCs w:val="22"/>
        </w:rPr>
        <w:t xml:space="preserve">ederal government </w:t>
      </w:r>
      <w:proofErr w:type="gramStart"/>
      <w:r w:rsidRPr="0096321E">
        <w:rPr>
          <w:rFonts w:cs="Arial"/>
          <w:szCs w:val="22"/>
        </w:rPr>
        <w:t>services;</w:t>
      </w:r>
      <w:proofErr w:type="gramEnd"/>
      <w:r w:rsidRPr="0096321E">
        <w:rPr>
          <w:rFonts w:cs="Arial"/>
          <w:szCs w:val="22"/>
        </w:rPr>
        <w:t xml:space="preserve"> </w:t>
      </w:r>
    </w:p>
    <w:p w14:paraId="03DB88C2" w14:textId="59F3E8B7" w:rsidR="006667B2" w:rsidRPr="0096321E" w:rsidRDefault="006667B2" w:rsidP="00AE17BC">
      <w:pPr>
        <w:numPr>
          <w:ilvl w:val="1"/>
          <w:numId w:val="11"/>
        </w:numPr>
        <w:ind w:left="720"/>
        <w:rPr>
          <w:rFonts w:cs="Arial"/>
          <w:szCs w:val="22"/>
        </w:rPr>
      </w:pPr>
      <w:r w:rsidRPr="0096321E">
        <w:rPr>
          <w:rFonts w:cs="Arial"/>
          <w:szCs w:val="22"/>
        </w:rPr>
        <w:t>Operating costs including maintenance</w:t>
      </w:r>
      <w:r w:rsidR="00C45607">
        <w:rPr>
          <w:rFonts w:cs="Arial"/>
          <w:szCs w:val="22"/>
        </w:rPr>
        <w:t>,</w:t>
      </w:r>
      <w:r w:rsidRPr="0096321E">
        <w:rPr>
          <w:rFonts w:cs="Arial"/>
          <w:szCs w:val="22"/>
        </w:rPr>
        <w:t xml:space="preserve"> security, operation, utilities, furnishings, equipment, supplies, staff training, recruitment, and other incidental </w:t>
      </w:r>
      <w:proofErr w:type="gramStart"/>
      <w:r w:rsidRPr="0096321E">
        <w:rPr>
          <w:rFonts w:cs="Arial"/>
          <w:szCs w:val="22"/>
        </w:rPr>
        <w:t>costs;</w:t>
      </w:r>
      <w:proofErr w:type="gramEnd"/>
    </w:p>
    <w:p w14:paraId="181A2723" w14:textId="77777777" w:rsidR="006667B2" w:rsidRPr="0096321E" w:rsidRDefault="006667B2" w:rsidP="00AE17BC">
      <w:pPr>
        <w:numPr>
          <w:ilvl w:val="1"/>
          <w:numId w:val="11"/>
        </w:numPr>
        <w:ind w:left="720"/>
        <w:rPr>
          <w:rFonts w:cs="Arial"/>
          <w:szCs w:val="22"/>
        </w:rPr>
      </w:pPr>
      <w:r w:rsidRPr="0096321E">
        <w:rPr>
          <w:rFonts w:cs="Arial"/>
          <w:szCs w:val="22"/>
        </w:rPr>
        <w:t>Economic development activities including</w:t>
      </w:r>
      <w:r>
        <w:rPr>
          <w:rFonts w:cs="Arial"/>
          <w:szCs w:val="22"/>
        </w:rPr>
        <w:t>,</w:t>
      </w:r>
      <w:r w:rsidRPr="0096321E">
        <w:rPr>
          <w:rFonts w:cs="Arial"/>
          <w:szCs w:val="22"/>
        </w:rPr>
        <w:t xml:space="preserve"> but not limited to</w:t>
      </w:r>
      <w:r>
        <w:rPr>
          <w:rFonts w:cs="Arial"/>
          <w:szCs w:val="22"/>
        </w:rPr>
        <w:t>,</w:t>
      </w:r>
      <w:r w:rsidRPr="0096321E">
        <w:rPr>
          <w:rFonts w:cs="Arial"/>
          <w:szCs w:val="22"/>
        </w:rPr>
        <w:t xml:space="preserve"> equipment purchase, inventory financing, interest subsidy, operating expenses</w:t>
      </w:r>
      <w:r>
        <w:rPr>
          <w:rFonts w:cs="Arial"/>
          <w:szCs w:val="22"/>
        </w:rPr>
        <w:t>,</w:t>
      </w:r>
      <w:r w:rsidRPr="0096321E">
        <w:rPr>
          <w:rFonts w:cs="Arial"/>
          <w:szCs w:val="22"/>
        </w:rPr>
        <w:t xml:space="preserve"> and similar costs not associated with construction or expansion of existing </w:t>
      </w:r>
      <w:proofErr w:type="gramStart"/>
      <w:r w:rsidRPr="0096321E">
        <w:rPr>
          <w:rFonts w:cs="Arial"/>
          <w:szCs w:val="22"/>
        </w:rPr>
        <w:t>operations;</w:t>
      </w:r>
      <w:proofErr w:type="gramEnd"/>
      <w:r w:rsidRPr="0096321E">
        <w:rPr>
          <w:rFonts w:cs="Arial"/>
          <w:szCs w:val="22"/>
        </w:rPr>
        <w:t xml:space="preserve"> </w:t>
      </w:r>
    </w:p>
    <w:p w14:paraId="3E5C2715" w14:textId="77777777" w:rsidR="006667B2" w:rsidRPr="0096321E" w:rsidRDefault="006667B2" w:rsidP="00AE17BC">
      <w:pPr>
        <w:numPr>
          <w:ilvl w:val="1"/>
          <w:numId w:val="11"/>
        </w:numPr>
        <w:ind w:left="720"/>
        <w:rPr>
          <w:rFonts w:cs="Arial"/>
          <w:szCs w:val="22"/>
        </w:rPr>
      </w:pPr>
      <w:r w:rsidRPr="0096321E">
        <w:rPr>
          <w:rFonts w:cs="Arial"/>
          <w:szCs w:val="22"/>
        </w:rPr>
        <w:t xml:space="preserve">Activities to assist homebuyers to purchase existing dwelling units or dwelling units under construction such as closing costs, down payment assistance, interest buy downs and similar activities that result in the transfer of title to a property; and </w:t>
      </w:r>
    </w:p>
    <w:p w14:paraId="70542166" w14:textId="77777777" w:rsidR="006667B2" w:rsidRPr="00955CBA" w:rsidRDefault="006667B2" w:rsidP="00AE17BC">
      <w:pPr>
        <w:numPr>
          <w:ilvl w:val="1"/>
          <w:numId w:val="11"/>
        </w:numPr>
        <w:ind w:left="720"/>
        <w:rPr>
          <w:rFonts w:cs="Arial"/>
          <w:szCs w:val="22"/>
        </w:rPr>
      </w:pPr>
      <w:r w:rsidRPr="0096321E">
        <w:rPr>
          <w:rFonts w:cs="Arial"/>
          <w:szCs w:val="22"/>
        </w:rPr>
        <w:t>Affordable housing predevelopment costs with NO physical impact such as legal, consulting, developer and other costs related to obtaining site options, project financing, administrative costs and fees for loan commitments, zoning approvals, and other related activities which do not have a physical impact</w:t>
      </w:r>
      <w:r w:rsidRPr="0096321E">
        <w:rPr>
          <w:szCs w:val="22"/>
        </w:rPr>
        <w:t>.</w:t>
      </w:r>
    </w:p>
    <w:p w14:paraId="42558702" w14:textId="2A028CD8" w:rsidR="00955CBA" w:rsidRPr="0096321E" w:rsidRDefault="00955CBA" w:rsidP="00AE17BC">
      <w:pPr>
        <w:numPr>
          <w:ilvl w:val="1"/>
          <w:numId w:val="11"/>
        </w:numPr>
        <w:ind w:left="720"/>
        <w:rPr>
          <w:rFonts w:cs="Arial"/>
          <w:szCs w:val="22"/>
        </w:rPr>
      </w:pPr>
      <w:r>
        <w:t xml:space="preserve">Approval of supplemental assistance (including insurance or guarantee) to a project previously approved under Part 58, if: approval is by same the RE, and re-evaluation is not required, per </w:t>
      </w:r>
      <w:r w:rsidR="00D80E09">
        <w:rPr>
          <w:rFonts w:cs="Arial"/>
        </w:rPr>
        <w:t>§</w:t>
      </w:r>
      <w:r>
        <w:t>58.47</w:t>
      </w:r>
    </w:p>
    <w:p w14:paraId="66923EE9" w14:textId="77777777" w:rsidR="006667B2" w:rsidRDefault="006667B2" w:rsidP="00AE17BC">
      <w:pPr>
        <w:rPr>
          <w:rFonts w:cs="Arial"/>
        </w:rPr>
      </w:pPr>
    </w:p>
    <w:p w14:paraId="4961E0E9" w14:textId="490BC093" w:rsidR="006667B2" w:rsidRPr="00147DB2" w:rsidRDefault="006667B2" w:rsidP="00DA0BFE">
      <w:pPr>
        <w:pStyle w:val="ListParagraph"/>
        <w:numPr>
          <w:ilvl w:val="0"/>
          <w:numId w:val="3"/>
        </w:numPr>
        <w:tabs>
          <w:tab w:val="left" w:pos="450"/>
        </w:tabs>
        <w:ind w:left="0" w:firstLine="0"/>
        <w:rPr>
          <w:rFonts w:cs="Arial"/>
          <w:b/>
        </w:rPr>
      </w:pPr>
      <w:r w:rsidRPr="00147DB2">
        <w:rPr>
          <w:rFonts w:cs="Arial"/>
          <w:b/>
        </w:rPr>
        <w:t xml:space="preserve">24 CFR §58.35(a) Categorically Excluded, Subject To §58.5 (CEST) </w:t>
      </w:r>
    </w:p>
    <w:p w14:paraId="4AFE169F" w14:textId="527D1C46" w:rsidR="006667B2" w:rsidRDefault="006667B2" w:rsidP="00AE17BC">
      <w:pPr>
        <w:rPr>
          <w:rFonts w:cs="Arial"/>
          <w:szCs w:val="22"/>
        </w:rPr>
      </w:pPr>
      <w:r w:rsidRPr="0096321E">
        <w:rPr>
          <w:rFonts w:cs="Arial"/>
          <w:szCs w:val="22"/>
        </w:rPr>
        <w:t xml:space="preserve">The list of categorically excluded activities is found </w:t>
      </w:r>
      <w:r>
        <w:rPr>
          <w:rFonts w:cs="Arial"/>
          <w:szCs w:val="22"/>
        </w:rPr>
        <w:t>in</w:t>
      </w:r>
      <w:r w:rsidRPr="0096321E">
        <w:rPr>
          <w:rFonts w:cs="Arial"/>
          <w:szCs w:val="22"/>
        </w:rPr>
        <w:t xml:space="preserve"> 24 CFR </w:t>
      </w:r>
      <w:r>
        <w:rPr>
          <w:rFonts w:cs="Arial"/>
          <w:szCs w:val="22"/>
        </w:rPr>
        <w:t>Section</w:t>
      </w:r>
      <w:r w:rsidRPr="0096321E">
        <w:rPr>
          <w:rFonts w:cs="Arial"/>
          <w:szCs w:val="22"/>
        </w:rPr>
        <w:t xml:space="preserve"> 58.35. While the activities listed in </w:t>
      </w:r>
      <w:r>
        <w:rPr>
          <w:rFonts w:cs="Arial"/>
          <w:szCs w:val="22"/>
        </w:rPr>
        <w:t>§</w:t>
      </w:r>
      <w:r w:rsidRPr="0096321E">
        <w:rPr>
          <w:rFonts w:cs="Arial"/>
          <w:szCs w:val="22"/>
        </w:rPr>
        <w:t xml:space="preserve">58.35(a) are categorically excluded from NEPA requirements, the </w:t>
      </w:r>
      <w:r w:rsidR="003404D5">
        <w:rPr>
          <w:rFonts w:cs="Arial"/>
          <w:szCs w:val="22"/>
        </w:rPr>
        <w:t>Grant Recipient</w:t>
      </w:r>
      <w:r w:rsidR="003404D5" w:rsidRPr="0096321E">
        <w:rPr>
          <w:rFonts w:cs="Arial"/>
          <w:szCs w:val="22"/>
        </w:rPr>
        <w:t xml:space="preserve"> </w:t>
      </w:r>
      <w:r w:rsidRPr="0096321E">
        <w:rPr>
          <w:rFonts w:cs="Arial"/>
          <w:szCs w:val="22"/>
        </w:rPr>
        <w:t>must</w:t>
      </w:r>
      <w:r>
        <w:rPr>
          <w:rFonts w:cs="Arial"/>
          <w:szCs w:val="22"/>
        </w:rPr>
        <w:t xml:space="preserve"> </w:t>
      </w:r>
      <w:r w:rsidRPr="0096321E">
        <w:rPr>
          <w:rFonts w:cs="Arial"/>
          <w:szCs w:val="22"/>
        </w:rPr>
        <w:t>nevertheless demonstrate compliance with the laws, authorities</w:t>
      </w:r>
      <w:r>
        <w:rPr>
          <w:rFonts w:cs="Arial"/>
          <w:szCs w:val="22"/>
        </w:rPr>
        <w:t>,</w:t>
      </w:r>
      <w:r w:rsidRPr="0096321E">
        <w:rPr>
          <w:rFonts w:cs="Arial"/>
          <w:szCs w:val="22"/>
        </w:rPr>
        <w:t xml:space="preserve"> and Executive Orders listed in 24 CFR </w:t>
      </w:r>
      <w:r>
        <w:rPr>
          <w:rFonts w:cs="Arial"/>
          <w:szCs w:val="22"/>
        </w:rPr>
        <w:t>§</w:t>
      </w:r>
      <w:r w:rsidRPr="0096321E">
        <w:rPr>
          <w:rFonts w:cs="Arial"/>
          <w:szCs w:val="22"/>
        </w:rPr>
        <w:t xml:space="preserve">58.5. </w:t>
      </w:r>
    </w:p>
    <w:p w14:paraId="10B6B2A6" w14:textId="77777777" w:rsidR="006667B2" w:rsidRDefault="006667B2" w:rsidP="00AE17BC">
      <w:pPr>
        <w:rPr>
          <w:rFonts w:cs="Arial"/>
          <w:szCs w:val="22"/>
        </w:rPr>
      </w:pPr>
    </w:p>
    <w:p w14:paraId="4BF03876" w14:textId="77777777" w:rsidR="006667B2" w:rsidRPr="0096321E" w:rsidRDefault="006667B2" w:rsidP="00AE17BC">
      <w:pPr>
        <w:rPr>
          <w:rFonts w:cs="Arial"/>
          <w:szCs w:val="22"/>
        </w:rPr>
      </w:pPr>
      <w:r w:rsidRPr="0096321E">
        <w:rPr>
          <w:rFonts w:cs="Arial"/>
          <w:szCs w:val="22"/>
        </w:rPr>
        <w:t xml:space="preserve">The following are categorically </w:t>
      </w:r>
      <w:r w:rsidRPr="00FD6455">
        <w:rPr>
          <w:rFonts w:cs="Arial"/>
          <w:b/>
          <w:bCs/>
          <w:szCs w:val="22"/>
        </w:rPr>
        <w:t>excluded</w:t>
      </w:r>
      <w:r w:rsidRPr="0096321E">
        <w:rPr>
          <w:rFonts w:cs="Arial"/>
          <w:szCs w:val="22"/>
        </w:rPr>
        <w:t xml:space="preserve"> activities subject to </w:t>
      </w:r>
      <w:r w:rsidRPr="00766DE9">
        <w:rPr>
          <w:rFonts w:cs="Arial"/>
          <w:bCs/>
          <w:szCs w:val="22"/>
        </w:rPr>
        <w:t>§</w:t>
      </w:r>
      <w:r w:rsidRPr="0096321E">
        <w:rPr>
          <w:rFonts w:cs="Arial"/>
          <w:szCs w:val="22"/>
        </w:rPr>
        <w:t xml:space="preserve">58.5: </w:t>
      </w:r>
    </w:p>
    <w:p w14:paraId="59B2DC82" w14:textId="77777777" w:rsidR="006667B2" w:rsidRPr="0096321E" w:rsidRDefault="006667B2" w:rsidP="00AE17BC">
      <w:pPr>
        <w:numPr>
          <w:ilvl w:val="1"/>
          <w:numId w:val="12"/>
        </w:numPr>
        <w:ind w:left="720" w:right="-144"/>
        <w:rPr>
          <w:rFonts w:cs="Arial"/>
          <w:szCs w:val="22"/>
        </w:rPr>
      </w:pPr>
      <w:r w:rsidRPr="0096321E">
        <w:rPr>
          <w:rFonts w:cs="Arial"/>
          <w:szCs w:val="22"/>
        </w:rPr>
        <w:t>Acquisition, repair, improvement, reconstruction, or rehabilitation of public facilities and improvements (other than buildings) when the facilities and improvements are in place and will be retained in the same use without change in size, or capacity of more than 20</w:t>
      </w:r>
      <w:r>
        <w:rPr>
          <w:rFonts w:cs="Arial"/>
          <w:szCs w:val="22"/>
        </w:rPr>
        <w:t>%</w:t>
      </w:r>
      <w:r w:rsidRPr="0096321E">
        <w:rPr>
          <w:rFonts w:cs="Arial"/>
          <w:szCs w:val="22"/>
        </w:rPr>
        <w:t xml:space="preserve">. </w:t>
      </w:r>
    </w:p>
    <w:p w14:paraId="3DC258AB" w14:textId="77777777" w:rsidR="006667B2" w:rsidRPr="0096321E" w:rsidRDefault="006667B2" w:rsidP="00AE17BC">
      <w:pPr>
        <w:numPr>
          <w:ilvl w:val="1"/>
          <w:numId w:val="12"/>
        </w:numPr>
        <w:ind w:left="720"/>
        <w:rPr>
          <w:rFonts w:cs="Arial"/>
          <w:szCs w:val="22"/>
        </w:rPr>
      </w:pPr>
      <w:r w:rsidRPr="0096321E">
        <w:rPr>
          <w:rFonts w:cs="Arial"/>
          <w:szCs w:val="22"/>
        </w:rPr>
        <w:t xml:space="preserve">Special projects directed toward the removal of material and architectural barriers that restrict the mobility of and accessibility to elderly and disabled persons. </w:t>
      </w:r>
    </w:p>
    <w:p w14:paraId="63D0721C" w14:textId="77777777" w:rsidR="006667B2" w:rsidRPr="0096321E" w:rsidRDefault="006667B2" w:rsidP="00AE17BC">
      <w:pPr>
        <w:numPr>
          <w:ilvl w:val="1"/>
          <w:numId w:val="12"/>
        </w:numPr>
        <w:ind w:left="720"/>
        <w:rPr>
          <w:rFonts w:cs="Arial"/>
          <w:szCs w:val="22"/>
        </w:rPr>
      </w:pPr>
      <w:r w:rsidRPr="0096321E">
        <w:rPr>
          <w:rFonts w:cs="Arial"/>
          <w:szCs w:val="22"/>
        </w:rPr>
        <w:t>Rehabilitation of buildings and improvements when the following conditions are met:</w:t>
      </w:r>
    </w:p>
    <w:p w14:paraId="4EB67BC8" w14:textId="77777777" w:rsidR="006667B2" w:rsidRPr="00BE00E5" w:rsidRDefault="006667B2" w:rsidP="00AE17BC">
      <w:pPr>
        <w:pStyle w:val="ListParagraph"/>
        <w:numPr>
          <w:ilvl w:val="1"/>
          <w:numId w:val="39"/>
        </w:numPr>
        <w:rPr>
          <w:rFonts w:cs="Arial"/>
        </w:rPr>
      </w:pPr>
      <w:r w:rsidRPr="00BE00E5">
        <w:rPr>
          <w:rFonts w:cs="Arial"/>
        </w:rPr>
        <w:t xml:space="preserve">For residential properties with one to four units: </w:t>
      </w:r>
    </w:p>
    <w:p w14:paraId="49B778CE" w14:textId="77777777" w:rsidR="006667B2" w:rsidRPr="0096321E" w:rsidRDefault="006667B2" w:rsidP="00AE17BC">
      <w:pPr>
        <w:numPr>
          <w:ilvl w:val="0"/>
          <w:numId w:val="40"/>
        </w:numPr>
        <w:rPr>
          <w:rFonts w:cs="Arial"/>
          <w:szCs w:val="22"/>
        </w:rPr>
      </w:pPr>
      <w:r w:rsidRPr="0096321E">
        <w:rPr>
          <w:rFonts w:cs="Arial"/>
          <w:szCs w:val="22"/>
        </w:rPr>
        <w:t xml:space="preserve">The density is not increased beyond four </w:t>
      </w:r>
      <w:proofErr w:type="gramStart"/>
      <w:r w:rsidRPr="0096321E">
        <w:rPr>
          <w:rFonts w:cs="Arial"/>
          <w:szCs w:val="22"/>
        </w:rPr>
        <w:t>units;</w:t>
      </w:r>
      <w:proofErr w:type="gramEnd"/>
      <w:r w:rsidRPr="0096321E">
        <w:rPr>
          <w:rFonts w:cs="Arial"/>
          <w:szCs w:val="22"/>
        </w:rPr>
        <w:t xml:space="preserve"> </w:t>
      </w:r>
    </w:p>
    <w:p w14:paraId="1EA245D0" w14:textId="77777777" w:rsidR="006667B2" w:rsidRPr="0096321E" w:rsidRDefault="006667B2" w:rsidP="00AE17BC">
      <w:pPr>
        <w:numPr>
          <w:ilvl w:val="0"/>
          <w:numId w:val="40"/>
        </w:numPr>
        <w:rPr>
          <w:rFonts w:cs="Arial"/>
          <w:szCs w:val="22"/>
        </w:rPr>
      </w:pPr>
      <w:r w:rsidRPr="0096321E">
        <w:rPr>
          <w:rFonts w:cs="Arial"/>
          <w:szCs w:val="22"/>
        </w:rPr>
        <w:t>The land use is not changed; and</w:t>
      </w:r>
    </w:p>
    <w:p w14:paraId="525D0145" w14:textId="77777777" w:rsidR="006667B2" w:rsidRPr="0096321E" w:rsidRDefault="006667B2" w:rsidP="00AE17BC">
      <w:pPr>
        <w:numPr>
          <w:ilvl w:val="0"/>
          <w:numId w:val="40"/>
        </w:numPr>
        <w:rPr>
          <w:rFonts w:cs="Arial"/>
          <w:szCs w:val="22"/>
        </w:rPr>
      </w:pPr>
      <w:r w:rsidRPr="0096321E">
        <w:rPr>
          <w:rFonts w:cs="Arial"/>
          <w:szCs w:val="22"/>
        </w:rPr>
        <w:t xml:space="preserve">If the building </w:t>
      </w:r>
      <w:proofErr w:type="gramStart"/>
      <w:r w:rsidRPr="0096321E">
        <w:rPr>
          <w:rFonts w:cs="Arial"/>
          <w:szCs w:val="22"/>
        </w:rPr>
        <w:t>is located in</w:t>
      </w:r>
      <w:proofErr w:type="gramEnd"/>
      <w:r w:rsidRPr="0096321E">
        <w:rPr>
          <w:rFonts w:cs="Arial"/>
          <w:szCs w:val="22"/>
        </w:rPr>
        <w:t xml:space="preserve"> a floodplain or in a wetland, the footprint of the building is not increased. </w:t>
      </w:r>
    </w:p>
    <w:p w14:paraId="5506A38F" w14:textId="77777777" w:rsidR="006667B2" w:rsidRPr="0096321E" w:rsidRDefault="006667B2" w:rsidP="00AE17BC">
      <w:pPr>
        <w:numPr>
          <w:ilvl w:val="0"/>
          <w:numId w:val="15"/>
        </w:numPr>
        <w:ind w:left="1440"/>
        <w:rPr>
          <w:rFonts w:cs="Arial"/>
          <w:szCs w:val="22"/>
        </w:rPr>
      </w:pPr>
      <w:r w:rsidRPr="0096321E">
        <w:rPr>
          <w:rFonts w:cs="Arial"/>
          <w:szCs w:val="22"/>
        </w:rPr>
        <w:t xml:space="preserve">For multi-family residential buildings (with more than four units): </w:t>
      </w:r>
    </w:p>
    <w:p w14:paraId="7ABD8993" w14:textId="77777777" w:rsidR="006667B2" w:rsidRPr="00BE00E5" w:rsidRDefault="006667B2" w:rsidP="00AE17BC">
      <w:pPr>
        <w:pStyle w:val="ListParagraph"/>
        <w:numPr>
          <w:ilvl w:val="0"/>
          <w:numId w:val="41"/>
        </w:numPr>
        <w:rPr>
          <w:rFonts w:cs="Arial"/>
        </w:rPr>
      </w:pPr>
      <w:r w:rsidRPr="00BE00E5">
        <w:rPr>
          <w:rFonts w:cs="Arial"/>
        </w:rPr>
        <w:t xml:space="preserve">Unit density is not changed more than </w:t>
      </w:r>
      <w:proofErr w:type="gramStart"/>
      <w:r w:rsidRPr="00BE00E5">
        <w:rPr>
          <w:rFonts w:cs="Arial"/>
        </w:rPr>
        <w:t>20%;</w:t>
      </w:r>
      <w:proofErr w:type="gramEnd"/>
      <w:r w:rsidRPr="00BE00E5">
        <w:rPr>
          <w:rFonts w:cs="Arial"/>
        </w:rPr>
        <w:t xml:space="preserve"> </w:t>
      </w:r>
    </w:p>
    <w:p w14:paraId="5453CA6E" w14:textId="77777777" w:rsidR="006667B2" w:rsidRPr="00BE00E5" w:rsidRDefault="006667B2" w:rsidP="00AE17BC">
      <w:pPr>
        <w:pStyle w:val="ListParagraph"/>
        <w:numPr>
          <w:ilvl w:val="0"/>
          <w:numId w:val="41"/>
        </w:numPr>
        <w:rPr>
          <w:rFonts w:cs="Arial"/>
        </w:rPr>
      </w:pPr>
      <w:r w:rsidRPr="00BE00E5">
        <w:rPr>
          <w:rFonts w:cs="Arial"/>
        </w:rPr>
        <w:t xml:space="preserve">The project does not involve changes in land use from residential to non-residential; and </w:t>
      </w:r>
    </w:p>
    <w:p w14:paraId="2D89CBE2" w14:textId="77777777" w:rsidR="006667B2" w:rsidRPr="00BE00E5" w:rsidRDefault="006667B2" w:rsidP="00AE17BC">
      <w:pPr>
        <w:pStyle w:val="ListParagraph"/>
        <w:numPr>
          <w:ilvl w:val="0"/>
          <w:numId w:val="41"/>
        </w:numPr>
        <w:rPr>
          <w:rFonts w:cs="Arial"/>
        </w:rPr>
      </w:pPr>
      <w:r w:rsidRPr="00BE00E5">
        <w:rPr>
          <w:rFonts w:cs="Arial"/>
        </w:rPr>
        <w:t xml:space="preserve">The estimated cost of rehabilitation is less than 75% of the total estimated replacement cost after rehabilitation. </w:t>
      </w:r>
    </w:p>
    <w:p w14:paraId="1A5F627D" w14:textId="77777777" w:rsidR="006667B2" w:rsidRPr="0096321E" w:rsidRDefault="006667B2" w:rsidP="00AE17BC">
      <w:pPr>
        <w:numPr>
          <w:ilvl w:val="0"/>
          <w:numId w:val="43"/>
        </w:numPr>
        <w:ind w:left="1440"/>
        <w:rPr>
          <w:rFonts w:cs="Arial"/>
          <w:szCs w:val="22"/>
        </w:rPr>
      </w:pPr>
      <w:r w:rsidRPr="0096321E">
        <w:rPr>
          <w:rFonts w:cs="Arial"/>
          <w:szCs w:val="22"/>
        </w:rPr>
        <w:t xml:space="preserve">For non-residential structures including commercial, industrial and public buildings: </w:t>
      </w:r>
    </w:p>
    <w:p w14:paraId="58521087" w14:textId="77777777" w:rsidR="006667B2" w:rsidRPr="00BE00E5" w:rsidRDefault="006667B2" w:rsidP="00AE17BC">
      <w:pPr>
        <w:pStyle w:val="ListParagraph"/>
        <w:numPr>
          <w:ilvl w:val="1"/>
          <w:numId w:val="16"/>
        </w:numPr>
        <w:rPr>
          <w:rFonts w:cs="Arial"/>
        </w:rPr>
      </w:pPr>
      <w:r w:rsidRPr="00BE00E5">
        <w:rPr>
          <w:rFonts w:cs="Arial"/>
        </w:rPr>
        <w:t xml:space="preserve">The facilities and improvements are in place and will not be changed in size or capacity by more than 20%; and </w:t>
      </w:r>
    </w:p>
    <w:p w14:paraId="5F50F0F2" w14:textId="61CF491F" w:rsidR="006667B2" w:rsidRPr="00BE00E5" w:rsidRDefault="006667B2" w:rsidP="00AE17BC">
      <w:pPr>
        <w:pStyle w:val="ListParagraph"/>
        <w:numPr>
          <w:ilvl w:val="1"/>
          <w:numId w:val="16"/>
        </w:numPr>
        <w:rPr>
          <w:rFonts w:cs="Arial"/>
        </w:rPr>
      </w:pPr>
      <w:r w:rsidRPr="00BE00E5">
        <w:rPr>
          <w:rFonts w:cs="Arial"/>
        </w:rPr>
        <w:t>The activity does not involve a change in land use, e.g.</w:t>
      </w:r>
      <w:r w:rsidR="00BE00E5">
        <w:rPr>
          <w:rFonts w:cs="Arial"/>
        </w:rPr>
        <w:t>,</w:t>
      </w:r>
      <w:r w:rsidRPr="00BE00E5">
        <w:rPr>
          <w:rFonts w:cs="Arial"/>
        </w:rPr>
        <w:t xml:space="preserve"> from commercial to industrial, from non-residential to residential, or from one industrial use to another.  </w:t>
      </w:r>
    </w:p>
    <w:p w14:paraId="3F384EF4" w14:textId="77777777" w:rsidR="006667B2" w:rsidRPr="00BE00E5" w:rsidRDefault="006667B2" w:rsidP="00AE17BC">
      <w:pPr>
        <w:pStyle w:val="ListParagraph"/>
        <w:numPr>
          <w:ilvl w:val="0"/>
          <w:numId w:val="16"/>
        </w:numPr>
        <w:ind w:left="720" w:right="-144"/>
        <w:rPr>
          <w:rFonts w:cs="Arial"/>
        </w:rPr>
      </w:pPr>
      <w:r w:rsidRPr="00BE00E5">
        <w:rPr>
          <w:rFonts w:cs="Arial"/>
        </w:rPr>
        <w:t xml:space="preserve">An individual action on up to four-family dwelling where there is a maximum of four units on any one site. </w:t>
      </w:r>
      <w:r w:rsidRPr="00BE00E5">
        <w:rPr>
          <w:rFonts w:cs="Arial"/>
          <w:b/>
          <w:bCs/>
        </w:rPr>
        <w:t>Individual action</w:t>
      </w:r>
      <w:r w:rsidRPr="00BE00E5">
        <w:rPr>
          <w:rFonts w:cs="Arial"/>
        </w:rPr>
        <w:t xml:space="preserve"> refers to new construction, development, demolition, acquisition, disposition or refinancing (does not include rehabilitation which is covered previously). The units can be four one-unit buildings or one four-unit building or any combination </w:t>
      </w:r>
      <w:proofErr w:type="gramStart"/>
      <w:r w:rsidRPr="00BE00E5">
        <w:rPr>
          <w:rFonts w:cs="Arial"/>
        </w:rPr>
        <w:t>in-between;</w:t>
      </w:r>
      <w:proofErr w:type="gramEnd"/>
    </w:p>
    <w:p w14:paraId="6E39B4B7" w14:textId="77777777" w:rsidR="006667B2" w:rsidRPr="00BE00E5" w:rsidRDefault="006667B2" w:rsidP="00AE17BC">
      <w:pPr>
        <w:pStyle w:val="ListParagraph"/>
        <w:numPr>
          <w:ilvl w:val="0"/>
          <w:numId w:val="16"/>
        </w:numPr>
        <w:ind w:left="720"/>
        <w:rPr>
          <w:rFonts w:cs="Arial"/>
        </w:rPr>
      </w:pPr>
      <w:r w:rsidRPr="00BE00E5">
        <w:rPr>
          <w:rFonts w:cs="Arial"/>
        </w:rPr>
        <w:t xml:space="preserve">An individual action on a project of five or more housing units developed on scattered sites when the sites are more than 2,000 feet apart and there are not more than four housing units on any one </w:t>
      </w:r>
      <w:proofErr w:type="gramStart"/>
      <w:r w:rsidRPr="00BE00E5">
        <w:rPr>
          <w:rFonts w:cs="Arial"/>
        </w:rPr>
        <w:t>site;</w:t>
      </w:r>
      <w:proofErr w:type="gramEnd"/>
      <w:r w:rsidRPr="00BE00E5">
        <w:rPr>
          <w:rFonts w:cs="Arial"/>
        </w:rPr>
        <w:t xml:space="preserve"> </w:t>
      </w:r>
    </w:p>
    <w:p w14:paraId="36D6B4A9" w14:textId="77777777" w:rsidR="006667B2" w:rsidRPr="00BE00E5" w:rsidRDefault="006667B2" w:rsidP="00AE17BC">
      <w:pPr>
        <w:pStyle w:val="ListParagraph"/>
        <w:numPr>
          <w:ilvl w:val="0"/>
          <w:numId w:val="16"/>
        </w:numPr>
        <w:ind w:left="720" w:right="126" w:hanging="270"/>
        <w:rPr>
          <w:rFonts w:cs="Arial"/>
        </w:rPr>
      </w:pPr>
      <w:r w:rsidRPr="00BE00E5">
        <w:rPr>
          <w:rFonts w:cs="Arial"/>
        </w:rPr>
        <w:t xml:space="preserve">Acquisition (including leasing) or disposition of or equity loans on an existing structure, or acquisition (including leasing) of vacant land provided that the structure or land acquired, financed, or disposed of will be retained for the same use. </w:t>
      </w:r>
    </w:p>
    <w:p w14:paraId="65DD8BB0" w14:textId="77777777" w:rsidR="006667B2" w:rsidRPr="00BE00E5" w:rsidRDefault="006667B2" w:rsidP="00AE17BC">
      <w:pPr>
        <w:pStyle w:val="ListParagraph"/>
        <w:numPr>
          <w:ilvl w:val="0"/>
          <w:numId w:val="16"/>
        </w:numPr>
        <w:ind w:left="720"/>
        <w:rPr>
          <w:rFonts w:cs="Arial"/>
        </w:rPr>
      </w:pPr>
      <w:r w:rsidRPr="00BE00E5">
        <w:rPr>
          <w:rFonts w:cs="Arial"/>
        </w:rPr>
        <w:t>Combinations of the above activities.</w:t>
      </w:r>
    </w:p>
    <w:p w14:paraId="7F44C609" w14:textId="77777777" w:rsidR="006667B2" w:rsidRDefault="006667B2" w:rsidP="00AE17BC">
      <w:pPr>
        <w:rPr>
          <w:rFonts w:cs="Arial"/>
          <w:b/>
          <w:szCs w:val="22"/>
        </w:rPr>
      </w:pPr>
    </w:p>
    <w:p w14:paraId="0C6E4514" w14:textId="55B1F605" w:rsidR="006667B2" w:rsidRDefault="006667B2" w:rsidP="00DA0BFE">
      <w:pPr>
        <w:pStyle w:val="CDBGBODYSTYLE"/>
        <w:spacing w:line="240" w:lineRule="auto"/>
        <w:ind w:left="540"/>
      </w:pPr>
      <w:r w:rsidRPr="0049775B">
        <w:rPr>
          <w:b/>
        </w:rPr>
        <w:t>Categorical Exclusion Converted to Exemption</w:t>
      </w:r>
      <w:r>
        <w:rPr>
          <w:b/>
        </w:rPr>
        <w:t xml:space="preserve"> 24 CFR </w:t>
      </w:r>
      <w:r w:rsidRPr="00224A12">
        <w:rPr>
          <w:b/>
          <w:bCs/>
        </w:rPr>
        <w:t>§</w:t>
      </w:r>
      <w:r w:rsidRPr="0001718E">
        <w:rPr>
          <w:b/>
        </w:rPr>
        <w:t>§</w:t>
      </w:r>
      <w:r w:rsidRPr="00224A12">
        <w:rPr>
          <w:b/>
          <w:bCs/>
        </w:rPr>
        <w:t>58</w:t>
      </w:r>
      <w:r>
        <w:rPr>
          <w:b/>
        </w:rPr>
        <w:t>.34(a)(12)</w:t>
      </w:r>
      <w:r w:rsidDel="00413CEF">
        <w:rPr>
          <w:b/>
        </w:rPr>
        <w:t xml:space="preserve"> </w:t>
      </w:r>
      <w:r>
        <w:rPr>
          <w:b/>
        </w:rPr>
        <w:t>and 58.35(a)</w:t>
      </w:r>
      <w:r w:rsidRPr="00EB1701" w:rsidDel="00EB1701">
        <w:rPr>
          <w:b/>
        </w:rPr>
        <w:t xml:space="preserve"> </w:t>
      </w:r>
      <w:r>
        <w:t>HUD regulations at §58.34(a)(12)</w:t>
      </w:r>
      <w:r w:rsidRPr="0049775B">
        <w:t xml:space="preserve"> </w:t>
      </w:r>
      <w:r>
        <w:t xml:space="preserve">permit some projects to convert from a </w:t>
      </w:r>
      <w:r w:rsidRPr="0049775B">
        <w:t xml:space="preserve">Categorically Excluded project </w:t>
      </w:r>
      <w:r>
        <w:t>to</w:t>
      </w:r>
      <w:r w:rsidRPr="0049775B">
        <w:t xml:space="preserve"> Exempt status</w:t>
      </w:r>
      <w:r>
        <w:t>. The Grant Recipient must first carefully determine that</w:t>
      </w:r>
      <w:r w:rsidRPr="0049775B">
        <w:t xml:space="preserve"> none of the statutory requirements under </w:t>
      </w:r>
      <w:r>
        <w:t xml:space="preserve">Section </w:t>
      </w:r>
      <w:r w:rsidRPr="0049775B">
        <w:t>58.5 apply to the project.</w:t>
      </w:r>
      <w:r>
        <w:t xml:space="preserve"> </w:t>
      </w:r>
      <w:r w:rsidR="00DF55A1">
        <w:t>The Environmental Preparer will select the appropriate Basis for Determination on the Environmental Review Checklist</w:t>
      </w:r>
      <w:r w:rsidRPr="0049775B">
        <w:rPr>
          <w:i/>
        </w:rPr>
        <w:t xml:space="preserve"> </w:t>
      </w:r>
      <w:r w:rsidRPr="0049775B">
        <w:t>if the project</w:t>
      </w:r>
      <w:r w:rsidRPr="00800ED2">
        <w:t xml:space="preserve"> </w:t>
      </w:r>
      <w:r w:rsidRPr="0049775B">
        <w:t xml:space="preserve">can be converted to </w:t>
      </w:r>
      <w:r>
        <w:t>e</w:t>
      </w:r>
      <w:r w:rsidRPr="0049775B">
        <w:t xml:space="preserve">xempt under </w:t>
      </w:r>
      <w:r>
        <w:t xml:space="preserve">Section </w:t>
      </w:r>
      <w:r w:rsidRPr="0049775B">
        <w:t xml:space="preserve">58.34(a)(12). </w:t>
      </w:r>
      <w:r w:rsidR="0080743F" w:rsidRPr="00CC2E2E">
        <w:rPr>
          <w:color w:val="2F5496" w:themeColor="accent1" w:themeShade="BF"/>
        </w:rPr>
        <w:t>Cleared activities included in the review are considered exempt from the time of conversion onward.</w:t>
      </w:r>
      <w:r w:rsidRPr="00CC2E2E">
        <w:rPr>
          <w:color w:val="2F5496" w:themeColor="accent1" w:themeShade="BF"/>
        </w:rPr>
        <w:t xml:space="preserve"> </w:t>
      </w:r>
      <w:r w:rsidR="0080743F" w:rsidRPr="00CC2E2E">
        <w:rPr>
          <w:color w:val="2F5496" w:themeColor="accent1" w:themeShade="BF"/>
        </w:rPr>
        <w:t xml:space="preserve">If any compliance factor is marked “yes” for “Are formal compliance steps required” OR “Are mitigation steps required,” </w:t>
      </w:r>
      <w:r w:rsidR="00C0402F" w:rsidRPr="00CC2E2E">
        <w:rPr>
          <w:color w:val="2F5496" w:themeColor="accent1" w:themeShade="BF"/>
        </w:rPr>
        <w:t>on the Environmental Review Checklist, the review may not convert to Exempt.</w:t>
      </w:r>
    </w:p>
    <w:p w14:paraId="7D5CC2D7" w14:textId="77777777" w:rsidR="006667B2" w:rsidRPr="0096321E" w:rsidRDefault="006667B2" w:rsidP="00AE17BC">
      <w:pPr>
        <w:rPr>
          <w:rFonts w:cs="Arial"/>
          <w:b/>
          <w:iCs/>
          <w:szCs w:val="22"/>
        </w:rPr>
      </w:pPr>
    </w:p>
    <w:p w14:paraId="6AABA33F" w14:textId="6418EEFF" w:rsidR="006667B2" w:rsidRPr="00147DB2" w:rsidRDefault="006667B2" w:rsidP="00DA0BFE">
      <w:pPr>
        <w:pStyle w:val="ListParagraph"/>
        <w:numPr>
          <w:ilvl w:val="0"/>
          <w:numId w:val="3"/>
        </w:numPr>
        <w:tabs>
          <w:tab w:val="left" w:pos="450"/>
        </w:tabs>
        <w:ind w:hanging="720"/>
        <w:rPr>
          <w:rFonts w:cs="Arial"/>
          <w:b/>
        </w:rPr>
      </w:pPr>
      <w:r w:rsidRPr="00147DB2">
        <w:rPr>
          <w:rFonts w:cs="Arial"/>
          <w:b/>
          <w:iCs/>
        </w:rPr>
        <w:t xml:space="preserve">Environmental Assessment (EA) </w:t>
      </w:r>
    </w:p>
    <w:p w14:paraId="55A28C84" w14:textId="51A07917" w:rsidR="006667B2" w:rsidRDefault="006667B2" w:rsidP="00AE17BC">
      <w:pPr>
        <w:rPr>
          <w:rFonts w:cs="Arial"/>
          <w:iCs/>
          <w:szCs w:val="22"/>
        </w:rPr>
      </w:pPr>
      <w:r w:rsidRPr="0096321E">
        <w:rPr>
          <w:rFonts w:cs="Arial"/>
          <w:iCs/>
          <w:szCs w:val="22"/>
        </w:rPr>
        <w:t xml:space="preserve">Activities which are neither exempt nor categorically excluded under each category will require an </w:t>
      </w:r>
      <w:r w:rsidRPr="00D27D82">
        <w:rPr>
          <w:rFonts w:cs="Arial"/>
          <w:i/>
          <w:szCs w:val="22"/>
        </w:rPr>
        <w:t>Environmental Assessment</w:t>
      </w:r>
      <w:r>
        <w:rPr>
          <w:rFonts w:cs="Arial"/>
          <w:iCs/>
          <w:szCs w:val="22"/>
        </w:rPr>
        <w:t xml:space="preserve"> </w:t>
      </w:r>
      <w:r w:rsidRPr="0096321E">
        <w:rPr>
          <w:rFonts w:cs="Arial"/>
          <w:iCs/>
          <w:szCs w:val="22"/>
        </w:rPr>
        <w:t>documenting compliance with NEPA, HUD, and with the environmental requirements of other applicable Federal laws.</w:t>
      </w:r>
    </w:p>
    <w:p w14:paraId="3084049E" w14:textId="77777777" w:rsidR="00512849" w:rsidRDefault="00512849" w:rsidP="00AE17BC">
      <w:pPr>
        <w:rPr>
          <w:rFonts w:cs="Arial"/>
          <w:iCs/>
          <w:szCs w:val="22"/>
        </w:rPr>
      </w:pPr>
    </w:p>
    <w:p w14:paraId="76A01469" w14:textId="42B07493" w:rsidR="00512849" w:rsidRPr="0096321E" w:rsidRDefault="00512849" w:rsidP="00AE17BC">
      <w:pPr>
        <w:rPr>
          <w:rFonts w:cs="Arial"/>
          <w:b/>
        </w:rPr>
      </w:pPr>
      <w:r>
        <w:t>For all levels of environmental review, t</w:t>
      </w:r>
      <w:r w:rsidRPr="00FD6455">
        <w:t xml:space="preserve">he </w:t>
      </w:r>
      <w:r>
        <w:t>Grant Recipient</w:t>
      </w:r>
      <w:r w:rsidRPr="00FD6455">
        <w:t xml:space="preserve"> must determine whether the activity triggers any of the other requirements </w:t>
      </w:r>
      <w:r>
        <w:t>of</w:t>
      </w:r>
      <w:r w:rsidRPr="00FD6455">
        <w:t xml:space="preserve"> the Flood Disaster Protection Act; the Coastal Barriers Resources Act; and HUD’s requirement for disclosure of properties located in airport runway clear zones</w:t>
      </w:r>
      <w:r>
        <w:t>.</w:t>
      </w:r>
      <w:r>
        <w:rPr>
          <w:rStyle w:val="FootnoteReference"/>
        </w:rPr>
        <w:footnoteReference w:id="8"/>
      </w:r>
    </w:p>
    <w:p w14:paraId="57F57B9E" w14:textId="77777777" w:rsidR="006667B2" w:rsidRPr="00CC2E2E" w:rsidRDefault="006667B2" w:rsidP="00AE17BC">
      <w:pPr>
        <w:rPr>
          <w:rFonts w:cs="Arial"/>
          <w:b/>
          <w:color w:val="2F5496" w:themeColor="accent1" w:themeShade="BF"/>
        </w:rPr>
      </w:pPr>
    </w:p>
    <w:p w14:paraId="25AC2240" w14:textId="77777777" w:rsidR="00D2449F" w:rsidRPr="00CC2E2E" w:rsidRDefault="00D2449F" w:rsidP="00D2449F">
      <w:pPr>
        <w:rPr>
          <w:rFonts w:cs="Arial"/>
          <w:bCs/>
          <w:color w:val="2F5496" w:themeColor="accent1" w:themeShade="BF"/>
        </w:rPr>
      </w:pPr>
      <w:r w:rsidRPr="00CC2E2E">
        <w:rPr>
          <w:rFonts w:cs="Arial"/>
          <w:bCs/>
          <w:color w:val="2F5496" w:themeColor="accent1" w:themeShade="BF"/>
        </w:rPr>
        <w:t xml:space="preserve">Unless otherwise approved in writing by the TDA Environmental Specialist, the Environmental Review must be completed within one year after the level of review is determined. </w:t>
      </w:r>
      <w:r w:rsidRPr="00CC2E2E">
        <w:rPr>
          <w:color w:val="2F5496" w:themeColor="accent1" w:themeShade="BF"/>
        </w:rPr>
        <w:t>This period begins on the date the Environmental Review Checklist page is begun in TDA-GO, and generally should not be after the start date of the grant agreement.  </w:t>
      </w:r>
      <w:r w:rsidRPr="00CC2E2E">
        <w:rPr>
          <w:rFonts w:cs="Arial"/>
          <w:bCs/>
          <w:color w:val="2F5496" w:themeColor="accent1" w:themeShade="BF"/>
        </w:rPr>
        <w:t xml:space="preserve">If this timeline is not feasible due to especially complex review elements or extenuating circumstances, send a request for extended review period and supporting documentation to </w:t>
      </w:r>
      <w:hyperlink r:id="rId12" w:history="1">
        <w:r w:rsidRPr="00CC2E2E">
          <w:rPr>
            <w:rStyle w:val="Hyperlink"/>
            <w:rFonts w:cs="Arial"/>
            <w:color w:val="2F5496" w:themeColor="accent1" w:themeShade="BF"/>
          </w:rPr>
          <w:t>CDBG_EnvReview@TexasAgriculture.gov</w:t>
        </w:r>
      </w:hyperlink>
      <w:r w:rsidRPr="00CC2E2E">
        <w:rPr>
          <w:rStyle w:val="Heading1Char"/>
          <w:i/>
          <w:iCs/>
          <w:color w:val="2F5496" w:themeColor="accent1" w:themeShade="BF"/>
        </w:rPr>
        <w:t xml:space="preserve"> </w:t>
      </w:r>
      <w:r w:rsidRPr="00CC2E2E">
        <w:rPr>
          <w:rFonts w:cs="Arial"/>
          <w:color w:val="2F5496" w:themeColor="accent1" w:themeShade="BF"/>
        </w:rPr>
        <w:t>n</w:t>
      </w:r>
      <w:r w:rsidRPr="00CC2E2E">
        <w:rPr>
          <w:rFonts w:cs="Arial"/>
          <w:bCs/>
          <w:color w:val="2F5496" w:themeColor="accent1" w:themeShade="BF"/>
        </w:rPr>
        <w:t>o later than 30 days before the end of the 12-month timeline.  Grants with an approved extension to the regulatory timeline will not be issued a finding for noncompliance with the deadline; grant agreement special conditions or application scoring criteria that measure timeliness of environmental review continue to be applicable.</w:t>
      </w:r>
    </w:p>
    <w:p w14:paraId="764914EC" w14:textId="77777777" w:rsidR="00D2449F" w:rsidRDefault="00D2449F" w:rsidP="00AE17BC">
      <w:pPr>
        <w:rPr>
          <w:rFonts w:cs="Arial"/>
          <w:b/>
        </w:rPr>
      </w:pPr>
    </w:p>
    <w:p w14:paraId="7F944A2A" w14:textId="77777777" w:rsidR="006667B2" w:rsidRDefault="006667B2" w:rsidP="00AE17BC">
      <w:pPr>
        <w:rPr>
          <w:rFonts w:cs="Arial"/>
          <w:b/>
        </w:rPr>
      </w:pPr>
    </w:p>
    <w:p w14:paraId="76EE316E" w14:textId="77777777" w:rsidR="006667B2" w:rsidRPr="007D4379" w:rsidRDefault="006667B2" w:rsidP="007D4379">
      <w:pPr>
        <w:pStyle w:val="Heading2"/>
      </w:pPr>
      <w:bookmarkStart w:id="28" w:name="_Toc123110431"/>
      <w:bookmarkStart w:id="29" w:name="_Toc171783646"/>
      <w:r w:rsidRPr="007D4379">
        <w:t>3.1.3 Step 3. Complete Checklists</w:t>
      </w:r>
      <w:bookmarkEnd w:id="28"/>
      <w:bookmarkEnd w:id="29"/>
    </w:p>
    <w:p w14:paraId="2AEB32B0" w14:textId="77777777" w:rsidR="006667B2" w:rsidRDefault="006667B2" w:rsidP="00AE17BC">
      <w:pPr>
        <w:pStyle w:val="CDBGBODYSTYLE"/>
        <w:spacing w:line="240" w:lineRule="auto"/>
      </w:pPr>
    </w:p>
    <w:p w14:paraId="1C0448CE" w14:textId="5625F1AC" w:rsidR="006667B2" w:rsidRPr="00645881" w:rsidRDefault="006667B2" w:rsidP="00AE17BC">
      <w:pPr>
        <w:pStyle w:val="CDBGBODYSTYLE"/>
        <w:spacing w:line="240" w:lineRule="auto"/>
      </w:pPr>
      <w:r w:rsidRPr="0096321E">
        <w:t>The HUD Exchange includes various checklists intended to help the Grant</w:t>
      </w:r>
      <w:r w:rsidRPr="00645881">
        <w:t xml:space="preserve"> Recipient address all issues and regulations for HUD environmental review requirements. </w:t>
      </w:r>
      <w:r>
        <w:t xml:space="preserve">These checklists have been incorporated into the TDA-GO </w:t>
      </w:r>
      <w:r w:rsidRPr="00DA0BFE">
        <w:rPr>
          <w:i/>
          <w:iCs/>
        </w:rPr>
        <w:t>Environmental Review Performance Report</w:t>
      </w:r>
      <w:r>
        <w:t xml:space="preserve"> as separate pages that become available based on the information provided in the report. </w:t>
      </w:r>
      <w:r w:rsidRPr="00645881">
        <w:t xml:space="preserve">For each of these checklists, the Grant Recipient must respond to each element with information from a </w:t>
      </w:r>
      <w:r w:rsidR="00B65B4D">
        <w:t xml:space="preserve">credible and </w:t>
      </w:r>
      <w:r w:rsidRPr="00645881">
        <w:t xml:space="preserve">verifiable </w:t>
      </w:r>
      <w:r w:rsidRPr="00C3364E">
        <w:t>source to</w:t>
      </w:r>
      <w:r w:rsidRPr="00645881">
        <w:t xml:space="preserve"> be included in the Environmental Review Record.</w:t>
      </w:r>
      <w:r w:rsidR="00D53013">
        <w:rPr>
          <w:rStyle w:val="FootnoteReference"/>
        </w:rPr>
        <w:footnoteReference w:id="9"/>
      </w:r>
    </w:p>
    <w:p w14:paraId="6B69C985" w14:textId="77777777" w:rsidR="006667B2" w:rsidRDefault="006667B2" w:rsidP="00AE17BC">
      <w:pPr>
        <w:rPr>
          <w:rFonts w:cs="Arial"/>
          <w:szCs w:val="22"/>
        </w:rPr>
      </w:pPr>
    </w:p>
    <w:p w14:paraId="5464E67B" w14:textId="1F2D6E2D" w:rsidR="006667B2" w:rsidRDefault="006667B2" w:rsidP="00AE17BC">
      <w:pPr>
        <w:pStyle w:val="CDBGBODYSTYLE"/>
        <w:spacing w:line="240" w:lineRule="auto"/>
      </w:pPr>
      <w:r>
        <w:t xml:space="preserve">Using </w:t>
      </w:r>
      <w:r w:rsidRPr="00147DB2">
        <w:rPr>
          <w:i/>
          <w:iCs/>
        </w:rPr>
        <w:t xml:space="preserve">the Environmental Review </w:t>
      </w:r>
      <w:r w:rsidR="00147DB2">
        <w:rPr>
          <w:i/>
          <w:iCs/>
        </w:rPr>
        <w:t>Checklist</w:t>
      </w:r>
      <w:r w:rsidR="00B65B4D">
        <w:t xml:space="preserve"> </w:t>
      </w:r>
      <w:r>
        <w:t xml:space="preserve">in TDA-GO select the appropriate level of review to generate the required </w:t>
      </w:r>
      <w:r w:rsidR="00B65B4D">
        <w:t xml:space="preserve">environmental review </w:t>
      </w:r>
      <w:r>
        <w:t>checklist. These checklists and the supporting documentation form the Environmental Review Record (ERR).</w:t>
      </w:r>
    </w:p>
    <w:p w14:paraId="3DEADD91" w14:textId="77777777" w:rsidR="006667B2" w:rsidRDefault="006667B2" w:rsidP="00AE17BC">
      <w:pPr>
        <w:rPr>
          <w:rFonts w:cs="Arial"/>
          <w:szCs w:val="22"/>
        </w:rPr>
      </w:pPr>
    </w:p>
    <w:p w14:paraId="51D38F5A" w14:textId="43744777" w:rsidR="006667B2" w:rsidRPr="00B65B4D" w:rsidRDefault="00B65B4D" w:rsidP="00AE17BC">
      <w:pPr>
        <w:rPr>
          <w:rFonts w:cs="Arial"/>
          <w:bCs/>
          <w:szCs w:val="22"/>
        </w:rPr>
      </w:pPr>
      <w:r>
        <w:rPr>
          <w:rFonts w:cs="Arial"/>
          <w:bCs/>
          <w:szCs w:val="22"/>
        </w:rPr>
        <w:t>G</w:t>
      </w:r>
      <w:r w:rsidR="006667B2" w:rsidRPr="005B51C3">
        <w:rPr>
          <w:rFonts w:cs="Arial"/>
          <w:bCs/>
          <w:szCs w:val="22"/>
        </w:rPr>
        <w:t>uidance</w:t>
      </w:r>
      <w:r w:rsidR="005908FB">
        <w:rPr>
          <w:rFonts w:cs="Arial"/>
          <w:bCs/>
          <w:szCs w:val="22"/>
        </w:rPr>
        <w:t xml:space="preserve"> </w:t>
      </w:r>
      <w:r w:rsidR="006667B2" w:rsidRPr="005B51C3">
        <w:rPr>
          <w:rFonts w:cs="Arial"/>
          <w:bCs/>
          <w:szCs w:val="22"/>
        </w:rPr>
        <w:t xml:space="preserve">and a more detailed </w:t>
      </w:r>
      <w:r w:rsidR="006667B2" w:rsidRPr="005B51C3">
        <w:rPr>
          <w:rFonts w:cs="Arial"/>
          <w:bCs/>
          <w:color w:val="000000"/>
          <w:szCs w:val="22"/>
        </w:rPr>
        <w:t xml:space="preserve">explanation of laws and regulations most commonly applicable to TxCDBG projects can be found on the </w:t>
      </w:r>
      <w:r w:rsidR="00D53013">
        <w:rPr>
          <w:rFonts w:cs="Arial"/>
          <w:bCs/>
          <w:color w:val="000000"/>
          <w:szCs w:val="22"/>
        </w:rPr>
        <w:t xml:space="preserve">HUD Exchange </w:t>
      </w:r>
      <w:r w:rsidR="006667B2" w:rsidRPr="005B51C3">
        <w:rPr>
          <w:rFonts w:cs="Arial"/>
          <w:bCs/>
          <w:color w:val="000000"/>
          <w:szCs w:val="22"/>
        </w:rPr>
        <w:t>Environmental</w:t>
      </w:r>
      <w:r w:rsidR="006667B2" w:rsidRPr="005B51C3">
        <w:rPr>
          <w:rFonts w:cs="Arial"/>
          <w:bCs/>
          <w:szCs w:val="22"/>
        </w:rPr>
        <w:t xml:space="preserve"> Review webpage</w:t>
      </w:r>
      <w:r w:rsidR="00D53013">
        <w:rPr>
          <w:rFonts w:cs="Arial"/>
          <w:bCs/>
          <w:szCs w:val="22"/>
        </w:rPr>
        <w:t>.</w:t>
      </w:r>
      <w:r w:rsidR="006667B2" w:rsidRPr="005B51C3">
        <w:rPr>
          <w:rFonts w:cs="Arial"/>
          <w:bCs/>
          <w:szCs w:val="22"/>
        </w:rPr>
        <w:t xml:space="preserve"> </w:t>
      </w:r>
    </w:p>
    <w:p w14:paraId="3C2F50BA" w14:textId="77777777" w:rsidR="006667B2" w:rsidRPr="00C80B3B" w:rsidRDefault="006667B2" w:rsidP="00AE17BC">
      <w:pPr>
        <w:rPr>
          <w:rFonts w:cs="Arial"/>
          <w:bCs/>
          <w:szCs w:val="22"/>
        </w:rPr>
      </w:pPr>
    </w:p>
    <w:p w14:paraId="7E38D206" w14:textId="0981085A" w:rsidR="006667B2" w:rsidRPr="00933DD6" w:rsidRDefault="006667B2" w:rsidP="00AE17BC">
      <w:pPr>
        <w:pStyle w:val="CDBGBODYSTYLE"/>
        <w:spacing w:line="240" w:lineRule="auto"/>
      </w:pPr>
      <w:r w:rsidRPr="0049775B">
        <w:t xml:space="preserve">Documentation of compliance with these laws must be included in the </w:t>
      </w:r>
      <w:r>
        <w:t>ERR</w:t>
      </w:r>
      <w:r w:rsidRPr="0049775B">
        <w:t xml:space="preserve">. If the project will affect or be affected by any of these laws and authorities, the </w:t>
      </w:r>
      <w:r>
        <w:t>Grant Recipient</w:t>
      </w:r>
      <w:r w:rsidRPr="0049775B">
        <w:t xml:space="preserve"> should initiate </w:t>
      </w:r>
      <w:r>
        <w:t>consultation</w:t>
      </w:r>
      <w:r w:rsidRPr="0049775B">
        <w:t xml:space="preserve"> with the appropriate regulatory agency. All written correspondence should reference the TxCDBG </w:t>
      </w:r>
      <w:r w:rsidR="005540D8">
        <w:t>Grant Agreement</w:t>
      </w:r>
      <w:r w:rsidRPr="0049775B">
        <w:t xml:space="preserve"> number</w:t>
      </w:r>
      <w:r w:rsidRPr="008A007B">
        <w:t xml:space="preserve">. </w:t>
      </w:r>
      <w:r w:rsidRPr="00C24BD9">
        <w:rPr>
          <w:b/>
        </w:rPr>
        <w:t xml:space="preserve">Photos </w:t>
      </w:r>
      <w:r w:rsidRPr="00933DD6">
        <w:rPr>
          <w:b/>
        </w:rPr>
        <w:t xml:space="preserve">of the </w:t>
      </w:r>
      <w:r w:rsidR="00FD0341" w:rsidRPr="00933DD6">
        <w:rPr>
          <w:b/>
        </w:rPr>
        <w:t xml:space="preserve">current conditions of the </w:t>
      </w:r>
      <w:r w:rsidRPr="00933DD6">
        <w:rPr>
          <w:b/>
        </w:rPr>
        <w:t>project site</w:t>
      </w:r>
      <w:r w:rsidR="00FD0341" w:rsidRPr="00933DD6">
        <w:rPr>
          <w:b/>
        </w:rPr>
        <w:t xml:space="preserve"> and surrounding area</w:t>
      </w:r>
      <w:r w:rsidRPr="00933DD6">
        <w:rPr>
          <w:b/>
        </w:rPr>
        <w:t xml:space="preserve"> </w:t>
      </w:r>
      <w:r w:rsidR="00474892" w:rsidRPr="00933DD6">
        <w:rPr>
          <w:b/>
        </w:rPr>
        <w:t xml:space="preserve">from the field inspection </w:t>
      </w:r>
      <w:r w:rsidRPr="00933DD6">
        <w:rPr>
          <w:b/>
        </w:rPr>
        <w:t>must be included</w:t>
      </w:r>
      <w:r w:rsidRPr="00933DD6">
        <w:t xml:space="preserve"> in the ERR to document the project site visit required by several checklist items</w:t>
      </w:r>
      <w:r w:rsidR="00FD0341" w:rsidRPr="00933DD6">
        <w:t xml:space="preserve"> and</w:t>
      </w:r>
      <w:r w:rsidR="00474892" w:rsidRPr="00933DD6">
        <w:t xml:space="preserve"> </w:t>
      </w:r>
      <w:r w:rsidR="00FD0341" w:rsidRPr="00933DD6">
        <w:t xml:space="preserve">must </w:t>
      </w:r>
      <w:r w:rsidRPr="00933DD6">
        <w:t xml:space="preserve">be uploaded directly to the TDA-GO </w:t>
      </w:r>
      <w:r w:rsidRPr="00933DD6">
        <w:rPr>
          <w:i/>
          <w:iCs/>
        </w:rPr>
        <w:t>Environmental Review Checklist</w:t>
      </w:r>
      <w:r w:rsidRPr="00933DD6">
        <w:t>.</w:t>
      </w:r>
      <w:r w:rsidR="00557D01" w:rsidRPr="00933DD6">
        <w:t xml:space="preserve"> Photos must include all proposed </w:t>
      </w:r>
      <w:proofErr w:type="gramStart"/>
      <w:r w:rsidR="00557D01" w:rsidRPr="00933DD6">
        <w:t>locations,</w:t>
      </w:r>
      <w:proofErr w:type="gramEnd"/>
      <w:r w:rsidR="00557D01" w:rsidRPr="00933DD6">
        <w:t xml:space="preserve"> visible existing infrastructure related to the project and be clearly labeled</w:t>
      </w:r>
      <w:r w:rsidR="00C0402F">
        <w:t xml:space="preserve"> for public and state review</w:t>
      </w:r>
      <w:r w:rsidR="00557D01" w:rsidRPr="00933DD6">
        <w:t>.</w:t>
      </w:r>
    </w:p>
    <w:p w14:paraId="64DE23F1" w14:textId="77777777" w:rsidR="006667B2" w:rsidRDefault="006667B2" w:rsidP="00DA0BFE"/>
    <w:p w14:paraId="4FC3157F" w14:textId="77777777" w:rsidR="006667B2" w:rsidRPr="00AC24A5" w:rsidRDefault="006667B2" w:rsidP="001F52AB">
      <w:pPr>
        <w:pStyle w:val="Heading2"/>
      </w:pPr>
      <w:bookmarkStart w:id="30" w:name="_Hlk117841226"/>
      <w:bookmarkStart w:id="31" w:name="_Toc171783647"/>
      <w:r>
        <w:t xml:space="preserve">Additional Guidance for Certain </w:t>
      </w:r>
      <w:r w:rsidRPr="00AC24A5">
        <w:t>Review Requirements</w:t>
      </w:r>
      <w:bookmarkEnd w:id="31"/>
    </w:p>
    <w:bookmarkEnd w:id="30"/>
    <w:p w14:paraId="0A1C7FAF" w14:textId="77777777" w:rsidR="006667B2" w:rsidRPr="00F27C1A" w:rsidRDefault="006667B2" w:rsidP="00AE17BC">
      <w:pPr>
        <w:rPr>
          <w:rFonts w:cs="Arial"/>
          <w:sz w:val="20"/>
          <w:szCs w:val="22"/>
        </w:rPr>
      </w:pPr>
    </w:p>
    <w:p w14:paraId="150F6945" w14:textId="2E00B02C" w:rsidR="00F90F09" w:rsidRPr="00147DB2" w:rsidRDefault="006667B2" w:rsidP="001F52AB">
      <w:pPr>
        <w:pStyle w:val="Heading7"/>
        <w:rPr>
          <w:color w:val="242424"/>
          <w:shd w:val="clear" w:color="auto" w:fill="FFFFFF"/>
        </w:rPr>
      </w:pPr>
      <w:bookmarkStart w:id="32" w:name="_Toc171783648"/>
      <w:r w:rsidRPr="00147DB2">
        <w:t>Historic Preservation Requirements</w:t>
      </w:r>
      <w:r w:rsidR="00D53013">
        <w:rPr>
          <w:rStyle w:val="FootnoteReference"/>
          <w:rFonts w:cs="Arial"/>
          <w:bCs/>
          <w:szCs w:val="22"/>
        </w:rPr>
        <w:footnoteReference w:id="10"/>
      </w:r>
      <w:bookmarkEnd w:id="32"/>
      <w:r w:rsidRPr="00147DB2">
        <w:t xml:space="preserve"> </w:t>
      </w:r>
    </w:p>
    <w:p w14:paraId="0D8C9708" w14:textId="77777777" w:rsidR="00F90F09" w:rsidRPr="00FD0341" w:rsidRDefault="00F90F09" w:rsidP="00DA0BFE"/>
    <w:p w14:paraId="71516423" w14:textId="1990C8C6" w:rsidR="00F90F09" w:rsidRPr="00DA0BFE" w:rsidRDefault="00F90F09" w:rsidP="00AE17BC">
      <w:pPr>
        <w:rPr>
          <w:rFonts w:cs="Arial"/>
          <w:szCs w:val="22"/>
        </w:rPr>
      </w:pPr>
      <w:r w:rsidRPr="00DA0BFE">
        <w:rPr>
          <w:rFonts w:cs="Arial"/>
          <w:szCs w:val="22"/>
        </w:rPr>
        <w:t xml:space="preserve">Section 106 consultation must be completed </w:t>
      </w:r>
      <w:r w:rsidRPr="00A017EB">
        <w:rPr>
          <w:rFonts w:cs="Arial"/>
          <w:i/>
          <w:iCs/>
          <w:szCs w:val="22"/>
        </w:rPr>
        <w:t>before</w:t>
      </w:r>
      <w:r w:rsidRPr="00DA0BFE">
        <w:rPr>
          <w:rFonts w:cs="Arial"/>
          <w:szCs w:val="22"/>
        </w:rPr>
        <w:t xml:space="preserve"> the checklist and ERR can be certified by the ENV Preparer for public comment.</w:t>
      </w:r>
    </w:p>
    <w:p w14:paraId="5EF2234E" w14:textId="77777777" w:rsidR="00F90F09" w:rsidRPr="00FD0341" w:rsidRDefault="00F90F09" w:rsidP="00AE17BC">
      <w:pPr>
        <w:rPr>
          <w:rFonts w:cs="Arial"/>
          <w:bCs/>
          <w:szCs w:val="22"/>
        </w:rPr>
      </w:pPr>
    </w:p>
    <w:p w14:paraId="7955C1F8" w14:textId="51A6BBB6" w:rsidR="006667B2" w:rsidRPr="00FD0341" w:rsidRDefault="006667B2" w:rsidP="00AE17BC">
      <w:pPr>
        <w:pStyle w:val="CDBGBODYSTYLE"/>
        <w:spacing w:line="240" w:lineRule="auto"/>
      </w:pPr>
      <w:r w:rsidRPr="00FD0341">
        <w:t xml:space="preserve">As part of the Statutory Checklist, under Categorical Exclusion 24 CFR §58.35(a) and Environmental Assessment projects, each Grant Recipient/Applicant must have concurrence from the State Historic Preservation Officer (SHPO) that the project will not adversely affect historically or archaeologically significant areas or structures. The SHPO in Texas is the </w:t>
      </w:r>
      <w:r w:rsidR="008B388E" w:rsidRPr="00FD0341">
        <w:t xml:space="preserve">Executive Director </w:t>
      </w:r>
      <w:r w:rsidRPr="00FD0341">
        <w:t xml:space="preserve">of the Texas Historical Commission. TDA has entered into a Programmatic Agreement with the Texas Historical Commission (THC) which under very specific conditions may allow for an exception to the requirement for SHPO clearance. </w:t>
      </w:r>
    </w:p>
    <w:p w14:paraId="5441839C" w14:textId="63659781" w:rsidR="00182CAC" w:rsidRPr="00933DD6" w:rsidRDefault="006667B2" w:rsidP="00AE17BC">
      <w:pPr>
        <w:pStyle w:val="CDBGBULLETSTYLE"/>
        <w:spacing w:line="240" w:lineRule="auto"/>
        <w:ind w:left="720"/>
        <w:jc w:val="both"/>
      </w:pPr>
      <w:r w:rsidRPr="00570ADB">
        <w:t xml:space="preserve">Grant Recipients/Applicants meeting certain criteria may satisfy the Historical Preservation </w:t>
      </w:r>
      <w:r w:rsidRPr="00933DD6">
        <w:t xml:space="preserve">requirements by certifying the </w:t>
      </w:r>
      <w:r w:rsidR="00A017EB" w:rsidRPr="00933DD6">
        <w:rPr>
          <w:i/>
        </w:rPr>
        <w:t xml:space="preserve">Exemption Request for </w:t>
      </w:r>
      <w:r w:rsidR="00557D01" w:rsidRPr="00933DD6">
        <w:rPr>
          <w:i/>
        </w:rPr>
        <w:t>Section 106</w:t>
      </w:r>
      <w:r w:rsidRPr="00933DD6">
        <w:rPr>
          <w:i/>
        </w:rPr>
        <w:t xml:space="preserve"> </w:t>
      </w:r>
      <w:r w:rsidRPr="00933DD6">
        <w:t xml:space="preserve">on </w:t>
      </w:r>
      <w:proofErr w:type="gramStart"/>
      <w:r w:rsidRPr="00933DD6">
        <w:t>the Section</w:t>
      </w:r>
      <w:proofErr w:type="gramEnd"/>
      <w:r w:rsidRPr="00933DD6">
        <w:t xml:space="preserve"> 106 page of the Environmental Review Performance Report</w:t>
      </w:r>
      <w:r w:rsidRPr="00933DD6">
        <w:rPr>
          <w:b/>
          <w:bCs/>
        </w:rPr>
        <w:t>.</w:t>
      </w:r>
      <w:r w:rsidRPr="00933DD6">
        <w:t xml:space="preserve"> </w:t>
      </w:r>
    </w:p>
    <w:p w14:paraId="76B9AD41" w14:textId="2F9A5D4C" w:rsidR="00797C31" w:rsidRPr="00933DD6" w:rsidRDefault="00182CAC" w:rsidP="00797C31">
      <w:pPr>
        <w:pStyle w:val="CDBGBULLETSTYLE"/>
        <w:numPr>
          <w:ilvl w:val="1"/>
          <w:numId w:val="8"/>
        </w:numPr>
        <w:spacing w:line="240" w:lineRule="auto"/>
        <w:jc w:val="both"/>
      </w:pPr>
      <w:r w:rsidRPr="00933DD6">
        <w:t xml:space="preserve">When the Request for Exemption from Section 106 fields are completed and saved, TDA will review and mark the form as either Exemption Approved or Exemption Declined. It is the preparer’s responsibility to verify TDA’s decision on </w:t>
      </w:r>
      <w:proofErr w:type="gramStart"/>
      <w:r w:rsidRPr="00933DD6">
        <w:t>the Section</w:t>
      </w:r>
      <w:proofErr w:type="gramEnd"/>
      <w:r w:rsidRPr="00933DD6">
        <w:t xml:space="preserve"> 106 page.</w:t>
      </w:r>
      <w:r w:rsidR="00797C31" w:rsidRPr="00933DD6">
        <w:rPr>
          <w:b/>
        </w:rPr>
        <w:t xml:space="preserve"> TDA’s determination of a responsible entity’s Section 106 exemption request is at the sole discretion of the department and considered final.</w:t>
      </w:r>
    </w:p>
    <w:p w14:paraId="4DA15E0A" w14:textId="660141B2" w:rsidR="00557D01" w:rsidRPr="00933DD6" w:rsidRDefault="00557D01" w:rsidP="00797C31">
      <w:pPr>
        <w:pStyle w:val="ListParagraph"/>
        <w:numPr>
          <w:ilvl w:val="1"/>
          <w:numId w:val="8"/>
        </w:numPr>
        <w:spacing w:before="100" w:beforeAutospacing="1" w:after="100" w:afterAutospacing="1"/>
        <w:contextualSpacing/>
        <w:rPr>
          <w:rFonts w:eastAsia="Times New Roman" w:cs="Arial"/>
        </w:rPr>
      </w:pPr>
      <w:r w:rsidRPr="00933DD6">
        <w:rPr>
          <w:rFonts w:eastAsia="Times New Roman" w:cs="Arial"/>
        </w:rPr>
        <w:t xml:space="preserve">If </w:t>
      </w:r>
      <w:r w:rsidR="00182CAC" w:rsidRPr="00933DD6">
        <w:rPr>
          <w:rFonts w:eastAsia="Times New Roman" w:cs="Arial"/>
        </w:rPr>
        <w:t xml:space="preserve">the </w:t>
      </w:r>
      <w:r w:rsidRPr="00933DD6">
        <w:rPr>
          <w:rFonts w:eastAsia="Times New Roman" w:cs="Arial"/>
        </w:rPr>
        <w:t xml:space="preserve">exemption is approved, </w:t>
      </w:r>
      <w:r w:rsidR="00182CAC" w:rsidRPr="00933DD6">
        <w:rPr>
          <w:rFonts w:eastAsia="Times New Roman" w:cs="Arial"/>
        </w:rPr>
        <w:t xml:space="preserve">no additional </w:t>
      </w:r>
      <w:r w:rsidR="00797C31" w:rsidRPr="00933DD6">
        <w:rPr>
          <w:rFonts w:eastAsia="Times New Roman" w:cs="Arial"/>
        </w:rPr>
        <w:t xml:space="preserve">Section </w:t>
      </w:r>
      <w:r w:rsidRPr="00933DD6">
        <w:rPr>
          <w:rFonts w:eastAsia="Times New Roman" w:cs="Arial"/>
        </w:rPr>
        <w:t xml:space="preserve">106 </w:t>
      </w:r>
      <w:r w:rsidR="00797C31" w:rsidRPr="00933DD6">
        <w:rPr>
          <w:rFonts w:eastAsia="Times New Roman" w:cs="Arial"/>
        </w:rPr>
        <w:t xml:space="preserve">actions are required </w:t>
      </w:r>
      <w:r w:rsidRPr="00933DD6">
        <w:rPr>
          <w:rFonts w:eastAsia="Times New Roman" w:cs="Arial"/>
        </w:rPr>
        <w:t>so long as the project stays within the parameters of the exemption stipulation</w:t>
      </w:r>
      <w:r w:rsidR="00797C31" w:rsidRPr="00933DD6">
        <w:rPr>
          <w:rFonts w:eastAsia="Times New Roman" w:cs="Arial"/>
        </w:rPr>
        <w:t>. I</w:t>
      </w:r>
      <w:r w:rsidRPr="00933DD6">
        <w:rPr>
          <w:rFonts w:eastAsia="Times New Roman" w:cs="Arial"/>
        </w:rPr>
        <w:t xml:space="preserve">f any </w:t>
      </w:r>
      <w:r w:rsidRPr="00933DD6">
        <w:rPr>
          <w:rFonts w:cs="Arial"/>
          <w:shd w:val="clear" w:color="auto" w:fill="FFFFFF"/>
        </w:rPr>
        <w:t>further actions are taken or changes made in the project scope, design, materials or location</w:t>
      </w:r>
      <w:r w:rsidR="00DB24DF" w:rsidRPr="00933DD6">
        <w:rPr>
          <w:rFonts w:cs="Arial"/>
          <w:shd w:val="clear" w:color="auto" w:fill="FFFFFF"/>
        </w:rPr>
        <w:t>, the Grant Recipient must notify TDA and</w:t>
      </w:r>
      <w:r w:rsidR="00A017EB" w:rsidRPr="00933DD6">
        <w:rPr>
          <w:rFonts w:cs="Arial"/>
          <w:shd w:val="clear" w:color="auto" w:fill="FFFFFF"/>
        </w:rPr>
        <w:t xml:space="preserve"> </w:t>
      </w:r>
      <w:r w:rsidR="00DB24DF" w:rsidRPr="00933DD6">
        <w:rPr>
          <w:rFonts w:cs="Arial"/>
          <w:shd w:val="clear" w:color="auto" w:fill="FFFFFF"/>
        </w:rPr>
        <w:t>reevaluate</w:t>
      </w:r>
      <w:r w:rsidRPr="00933DD6">
        <w:rPr>
          <w:rFonts w:cs="Arial"/>
          <w:shd w:val="clear" w:color="auto" w:fill="FFFFFF"/>
        </w:rPr>
        <w:t xml:space="preserve"> this section to ensure this exemption approval remains valid.</w:t>
      </w:r>
    </w:p>
    <w:p w14:paraId="42A1883D" w14:textId="7F898305" w:rsidR="00557D01" w:rsidRPr="00933DD6" w:rsidRDefault="00557D01" w:rsidP="00797C31">
      <w:pPr>
        <w:pStyle w:val="ListParagraph"/>
        <w:numPr>
          <w:ilvl w:val="1"/>
          <w:numId w:val="8"/>
        </w:numPr>
        <w:spacing w:before="100" w:beforeAutospacing="1" w:after="100" w:afterAutospacing="1"/>
        <w:contextualSpacing/>
        <w:rPr>
          <w:rFonts w:eastAsia="Times New Roman" w:cs="Arial"/>
        </w:rPr>
      </w:pPr>
      <w:r w:rsidRPr="00933DD6">
        <w:rPr>
          <w:rFonts w:eastAsia="Times New Roman" w:cs="Arial"/>
        </w:rPr>
        <w:t>If the project does not meet the criteria outlined in the Programmatic Agreement, or if the Grant Recipient/Applicant does not provide an adequate project description or other information needed to determine compliance, TDA will decline the exemption</w:t>
      </w:r>
      <w:r w:rsidR="00797C31" w:rsidRPr="00933DD6">
        <w:rPr>
          <w:rFonts w:eastAsia="Times New Roman" w:cs="Arial"/>
        </w:rPr>
        <w:t xml:space="preserve"> and full documentation of Section 106 requirements must be completed</w:t>
      </w:r>
      <w:r w:rsidRPr="00933DD6">
        <w:rPr>
          <w:rFonts w:eastAsia="Times New Roman" w:cs="Arial"/>
        </w:rPr>
        <w:t xml:space="preserve">. </w:t>
      </w:r>
    </w:p>
    <w:p w14:paraId="02E8E5A5" w14:textId="159C5E27" w:rsidR="006667B2" w:rsidRPr="00D53013" w:rsidRDefault="006667B2" w:rsidP="00AE17BC">
      <w:pPr>
        <w:pStyle w:val="CDBGBULLETSTYLE"/>
        <w:spacing w:line="240" w:lineRule="auto"/>
        <w:ind w:left="720"/>
        <w:jc w:val="both"/>
      </w:pPr>
      <w:r w:rsidRPr="00933DD6">
        <w:t xml:space="preserve">If the project does not have an exemption from SHPO Review approved by TDA, the Grant Recipient must submit the </w:t>
      </w:r>
      <w:hyperlink r:id="rId13" w:history="1">
        <w:r w:rsidRPr="00933DD6">
          <w:rPr>
            <w:rStyle w:val="Hyperlink"/>
            <w:color w:val="auto"/>
            <w:u w:val="none"/>
          </w:rPr>
          <w:t>SHPO Historic Preservation Notice</w:t>
        </w:r>
      </w:hyperlink>
      <w:r w:rsidRPr="00147DB2">
        <w:t xml:space="preserve"> </w:t>
      </w:r>
      <w:r w:rsidRPr="00D53013">
        <w:t xml:space="preserve">and allow at least </w:t>
      </w:r>
      <w:r w:rsidR="00DA0BFE">
        <w:t>thirty-five (</w:t>
      </w:r>
      <w:r w:rsidRPr="00D53013">
        <w:t>35</w:t>
      </w:r>
      <w:r w:rsidR="00DA0BFE">
        <w:t>)</w:t>
      </w:r>
      <w:r w:rsidRPr="00D53013">
        <w:t xml:space="preserve"> calendar days for the SHPO to review. A copy of the Historic Preservation Notice and response must be kept in the Environmental Review Record.</w:t>
      </w:r>
    </w:p>
    <w:p w14:paraId="0B3419F1" w14:textId="2BC2F619" w:rsidR="00D53013" w:rsidRDefault="006667B2" w:rsidP="00AE17BC">
      <w:pPr>
        <w:pStyle w:val="CDBGBULLETSTYLE"/>
        <w:spacing w:line="240" w:lineRule="auto"/>
        <w:ind w:left="720"/>
        <w:jc w:val="both"/>
      </w:pPr>
      <w:r w:rsidRPr="00D53013">
        <w:t xml:space="preserve">A project that does not have </w:t>
      </w:r>
      <w:proofErr w:type="gramStart"/>
      <w:r w:rsidRPr="00D53013">
        <w:t>a Section</w:t>
      </w:r>
      <w:proofErr w:type="gramEnd"/>
      <w:r w:rsidRPr="00D53013">
        <w:t xml:space="preserve"> 106 exemption approval must also consult with the Tribal Historic Preservation Officer (THPO) for each tribe that has declared an interest in the area.  The relevant tribal contacts for each county can be found in HUD’s </w:t>
      </w:r>
      <w:hyperlink r:id="rId14" w:history="1">
        <w:r w:rsidRPr="00147DB2">
          <w:rPr>
            <w:rStyle w:val="Hyperlink"/>
            <w:color w:val="auto"/>
            <w:u w:val="none"/>
          </w:rPr>
          <w:t>Tribal Directory Assistance Tool</w:t>
        </w:r>
      </w:hyperlink>
      <w:r w:rsidR="00F90F09" w:rsidRPr="00147DB2">
        <w:rPr>
          <w:rStyle w:val="Hyperlink"/>
          <w:color w:val="auto"/>
          <w:u w:val="none"/>
        </w:rPr>
        <w:t xml:space="preserve"> (TDAT</w:t>
      </w:r>
      <w:r w:rsidR="00361226" w:rsidRPr="00147DB2">
        <w:rPr>
          <w:rStyle w:val="Hyperlink"/>
          <w:color w:val="auto"/>
          <w:u w:val="none"/>
        </w:rPr>
        <w:t>)</w:t>
      </w:r>
      <w:r w:rsidR="00361226">
        <w:t>.</w:t>
      </w:r>
      <w:r w:rsidR="00361226" w:rsidRPr="00D53013">
        <w:t xml:space="preserve"> </w:t>
      </w:r>
      <w:r w:rsidR="00361226">
        <w:t>C</w:t>
      </w:r>
      <w:r w:rsidR="00361226" w:rsidRPr="00D53013">
        <w:t xml:space="preserve">lick </w:t>
      </w:r>
      <w:r w:rsidRPr="00D53013">
        <w:t xml:space="preserve">the </w:t>
      </w:r>
      <w:r w:rsidRPr="00D53013">
        <w:rPr>
          <w:i/>
          <w:iCs/>
        </w:rPr>
        <w:t>Generate Tribal Consultations</w:t>
      </w:r>
      <w:r w:rsidRPr="00D53013">
        <w:t xml:space="preserve"> letter in TDA-GO </w:t>
      </w:r>
      <w:r>
        <w:t xml:space="preserve">to prepare the required government-to-government consultation letters for the identified tribes. </w:t>
      </w:r>
    </w:p>
    <w:p w14:paraId="3BBEA6BC" w14:textId="7F160365" w:rsidR="006667B2" w:rsidRDefault="00D53013" w:rsidP="00AE17BC">
      <w:pPr>
        <w:pStyle w:val="CDBGBULLETSTYLE"/>
        <w:numPr>
          <w:ilvl w:val="0"/>
          <w:numId w:val="0"/>
        </w:numPr>
        <w:spacing w:line="240" w:lineRule="auto"/>
        <w:ind w:left="720"/>
        <w:jc w:val="both"/>
      </w:pPr>
      <w:r w:rsidRPr="00147DB2">
        <w:rPr>
          <w:b/>
          <w:bCs/>
        </w:rPr>
        <w:t>BEST PRACTICE:</w:t>
      </w:r>
      <w:r>
        <w:t xml:space="preserve"> </w:t>
      </w:r>
      <w:r w:rsidR="006667B2">
        <w:t xml:space="preserve">Grant Recipients </w:t>
      </w:r>
      <w:r w:rsidR="00361226">
        <w:t xml:space="preserve">must </w:t>
      </w:r>
      <w:r w:rsidR="006667B2">
        <w:t xml:space="preserve">send consultation letters and emails directly to the THPO.  Consultants/Environmental Review Preparers may email consultation letters to the THPO on behalf of the </w:t>
      </w:r>
      <w:r w:rsidR="006667B2" w:rsidRPr="00E12025">
        <w:t>Grant Recipient</w:t>
      </w:r>
      <w:r>
        <w:t>, but</w:t>
      </w:r>
      <w:r w:rsidR="006667B2" w:rsidRPr="00147DB2">
        <w:t xml:space="preserve"> </w:t>
      </w:r>
      <w:r w:rsidR="006667B2" w:rsidRPr="00147DB2">
        <w:rPr>
          <w:i/>
          <w:iCs/>
        </w:rPr>
        <w:t xml:space="preserve">the email must include the </w:t>
      </w:r>
      <w:r w:rsidR="003A387D" w:rsidRPr="00147DB2">
        <w:rPr>
          <w:i/>
          <w:iCs/>
        </w:rPr>
        <w:t xml:space="preserve">Authorizing Official </w:t>
      </w:r>
      <w:r w:rsidR="006667B2" w:rsidRPr="00147DB2">
        <w:rPr>
          <w:i/>
          <w:iCs/>
        </w:rPr>
        <w:t>as a cc recipient and must identify the sender as a third party assisting the local government</w:t>
      </w:r>
      <w:r w:rsidR="006667B2" w:rsidRPr="00147DB2">
        <w:t xml:space="preserve"> with administrative tasks for government-to-government consultation</w:t>
      </w:r>
      <w:r w:rsidR="006667B2" w:rsidRPr="00E12025">
        <w:t xml:space="preserve">. Allow a minimum of </w:t>
      </w:r>
      <w:r w:rsidR="00DA0BFE">
        <w:t>thirty (</w:t>
      </w:r>
      <w:r w:rsidR="006667B2" w:rsidRPr="00E12025">
        <w:t>30</w:t>
      </w:r>
      <w:r w:rsidR="00DA0BFE">
        <w:t>)</w:t>
      </w:r>
      <w:r w:rsidR="006667B2" w:rsidRPr="00E12025">
        <w:t xml:space="preserve"> calendar days for a response to consultation letters sent electronically</w:t>
      </w:r>
      <w:r w:rsidR="006667B2">
        <w:t xml:space="preserve">, and </w:t>
      </w:r>
      <w:r w:rsidR="00DA0BFE">
        <w:t>thirty-five (</w:t>
      </w:r>
      <w:r w:rsidR="006667B2">
        <w:t>35</w:t>
      </w:r>
      <w:r w:rsidR="00DA0BFE">
        <w:t>)</w:t>
      </w:r>
      <w:r w:rsidR="006667B2">
        <w:t xml:space="preserve"> days for consultation letters sent by certified mail. Copies of these letters, responses, and evidence of delivery to the tribal contacts (</w:t>
      </w:r>
      <w:r w:rsidR="003A387D">
        <w:t xml:space="preserve">read receipt </w:t>
      </w:r>
      <w:r w:rsidR="006667B2">
        <w:t>email delivery or certified mail) must be retained in the Environmental Review Record.</w:t>
      </w:r>
    </w:p>
    <w:p w14:paraId="76FDD4E1" w14:textId="5D8BC81D" w:rsidR="00FD0341" w:rsidRPr="00DA0BFE" w:rsidRDefault="00600EC9" w:rsidP="00AE17BC">
      <w:pPr>
        <w:pStyle w:val="CDBGBULLETSTYLE"/>
        <w:numPr>
          <w:ilvl w:val="0"/>
          <w:numId w:val="44"/>
        </w:numPr>
        <w:spacing w:line="240" w:lineRule="auto"/>
        <w:ind w:left="720"/>
        <w:jc w:val="both"/>
      </w:pPr>
      <w:r w:rsidRPr="00DA0BFE">
        <w:t>Currently, the most reliable information for both tribal contact information and geographic area of interest is TDAT. HUD updates TDAT periodically, after which TDA will update the contact information and/or tribal listings in TDA-GO. Additional tribes may be added over time where the geographic area of interest and contact information has been published by a similarly reliable source.</w:t>
      </w:r>
      <w:r w:rsidR="00FD0341" w:rsidRPr="00DA0BFE">
        <w:t xml:space="preserve"> </w:t>
      </w:r>
    </w:p>
    <w:p w14:paraId="42624ED6" w14:textId="03077A10" w:rsidR="00600EC9" w:rsidRPr="00DA0BFE" w:rsidRDefault="00FD0341" w:rsidP="00AE17BC">
      <w:pPr>
        <w:pStyle w:val="CDBGBULLETSTYLE"/>
        <w:numPr>
          <w:ilvl w:val="0"/>
          <w:numId w:val="44"/>
        </w:numPr>
        <w:spacing w:line="240" w:lineRule="auto"/>
        <w:ind w:left="720"/>
        <w:jc w:val="both"/>
      </w:pPr>
      <w:r w:rsidRPr="00DA0BFE">
        <w:t>If the environmental review identifies tribal governments with interest in the project area that are not listed in TDA-GO, the Grant Recipient is responsible for consulting with those tribes.</w:t>
      </w:r>
    </w:p>
    <w:p w14:paraId="61A833D6" w14:textId="67F7FFCD" w:rsidR="00600EC9" w:rsidRDefault="00600EC9" w:rsidP="00AE17BC"/>
    <w:p w14:paraId="12D0EEC1" w14:textId="44A6F841" w:rsidR="006667B2" w:rsidRPr="009853C1" w:rsidRDefault="006667B2" w:rsidP="001F52AB">
      <w:pPr>
        <w:pStyle w:val="Heading7"/>
      </w:pPr>
      <w:bookmarkStart w:id="33" w:name="_Toc171783649"/>
      <w:r w:rsidRPr="00147DB2">
        <w:t xml:space="preserve">8-Step </w:t>
      </w:r>
      <w:r w:rsidR="00557D01">
        <w:t xml:space="preserve">Decision Making </w:t>
      </w:r>
      <w:r w:rsidRPr="00147DB2">
        <w:t>Process for Floodplain Management and Protection of Wetlands</w:t>
      </w:r>
      <w:bookmarkEnd w:id="33"/>
    </w:p>
    <w:p w14:paraId="74642A7E" w14:textId="4F6F300D" w:rsidR="006667B2" w:rsidRDefault="006667B2" w:rsidP="00AE17BC">
      <w:pPr>
        <w:pStyle w:val="1CDGBbodyArial11"/>
        <w:spacing w:line="240" w:lineRule="auto"/>
      </w:pPr>
      <w:r w:rsidRPr="00820E70">
        <w:t>Except for actions covered by</w:t>
      </w:r>
      <w:r>
        <w:t xml:space="preserve"> 24 CFR</w:t>
      </w:r>
      <w:r w:rsidRPr="00820E70">
        <w:t xml:space="preserve"> §55.12(a), </w:t>
      </w:r>
      <w:r>
        <w:t xml:space="preserve">eight steps are required to make decisions for a project proposed to occur in a floodplain or wetland, </w:t>
      </w:r>
      <w:r w:rsidRPr="00820E70">
        <w:t>including public notices and an examination of practicable alternatives.</w:t>
      </w:r>
      <w:r>
        <w:t xml:space="preserve"> This process must be documented on the </w:t>
      </w:r>
      <w:r w:rsidR="00557D01" w:rsidRPr="00DB24DF">
        <w:rPr>
          <w:b/>
          <w:bCs/>
        </w:rPr>
        <w:t xml:space="preserve">Environmental Review </w:t>
      </w:r>
      <w:r w:rsidRPr="00C6353B">
        <w:rPr>
          <w:b/>
          <w:bCs/>
        </w:rPr>
        <w:t>Part 55</w:t>
      </w:r>
      <w:r>
        <w:t xml:space="preserve"> page of the Environmental Review Performance Report.</w:t>
      </w:r>
    </w:p>
    <w:p w14:paraId="41BF0F72" w14:textId="77777777" w:rsidR="006667B2" w:rsidRDefault="006667B2" w:rsidP="00AE17BC">
      <w:pPr>
        <w:pStyle w:val="1CDGBbodyArial11"/>
        <w:spacing w:line="240" w:lineRule="auto"/>
      </w:pPr>
    </w:p>
    <w:p w14:paraId="59C06300" w14:textId="75D3A228" w:rsidR="006667B2" w:rsidRPr="00820E70" w:rsidRDefault="006667B2" w:rsidP="00AE17BC">
      <w:pPr>
        <w:pStyle w:val="1CDGBbodyArial11"/>
        <w:spacing w:line="240" w:lineRule="auto"/>
      </w:pPr>
      <w:r w:rsidRPr="00820E70">
        <w:t>The steps to be followed in the decision</w:t>
      </w:r>
      <w:r>
        <w:t>-</w:t>
      </w:r>
      <w:r w:rsidRPr="00820E70">
        <w:t xml:space="preserve">making process are </w:t>
      </w:r>
      <w:r>
        <w:t xml:space="preserve">found in </w:t>
      </w:r>
      <w:r w:rsidRPr="0053041B">
        <w:t>24 CFR Part 55</w:t>
      </w:r>
      <w:r>
        <w:t xml:space="preserve"> </w:t>
      </w:r>
      <w:r w:rsidR="003503DF">
        <w:t>–</w:t>
      </w:r>
      <w:r>
        <w:t xml:space="preserve"> </w:t>
      </w:r>
      <w:r w:rsidRPr="0053041B">
        <w:t>Subsection C</w:t>
      </w:r>
      <w:r>
        <w:t xml:space="preserve"> </w:t>
      </w:r>
      <w:r w:rsidRPr="00820E70">
        <w:t>as follows:</w:t>
      </w:r>
    </w:p>
    <w:p w14:paraId="44A2E7FE" w14:textId="77777777" w:rsidR="006667B2" w:rsidRPr="00820E70" w:rsidRDefault="006667B2" w:rsidP="00AE17BC">
      <w:pPr>
        <w:pStyle w:val="CDBGBODYSTYLE"/>
        <w:spacing w:line="240" w:lineRule="auto"/>
        <w:ind w:left="540"/>
        <w:rPr>
          <w:b/>
          <w:u w:val="single"/>
        </w:rPr>
      </w:pPr>
    </w:p>
    <w:p w14:paraId="38AAD1D1" w14:textId="77777777" w:rsidR="006667B2" w:rsidRPr="00AF6EB0" w:rsidRDefault="006667B2" w:rsidP="00AE17BC">
      <w:pPr>
        <w:pStyle w:val="CDBGArial11BoldUnderlined"/>
        <w:spacing w:line="240" w:lineRule="auto"/>
        <w:rPr>
          <w:u w:val="none"/>
        </w:rPr>
      </w:pPr>
      <w:r w:rsidRPr="00AF6EB0">
        <w:rPr>
          <w:u w:val="none"/>
        </w:rPr>
        <w:t>Step 1</w:t>
      </w:r>
      <w:r>
        <w:rPr>
          <w:u w:val="none"/>
        </w:rPr>
        <w:t xml:space="preserve">. Floodplain/Wetlands </w:t>
      </w:r>
    </w:p>
    <w:p w14:paraId="0C4010E7" w14:textId="77777777" w:rsidR="006667B2" w:rsidRDefault="006667B2" w:rsidP="00AE17BC">
      <w:pPr>
        <w:pStyle w:val="1CDGBbodyArial11"/>
        <w:spacing w:line="240" w:lineRule="auto"/>
      </w:pPr>
      <w:r w:rsidRPr="00820E70">
        <w:t xml:space="preserve">Determine whether the proposed </w:t>
      </w:r>
      <w:r>
        <w:t xml:space="preserve">TxCDBG funded project </w:t>
      </w:r>
      <w:proofErr w:type="gramStart"/>
      <w:r>
        <w:t>i</w:t>
      </w:r>
      <w:r w:rsidRPr="00820E70">
        <w:t>s located in</w:t>
      </w:r>
      <w:proofErr w:type="gramEnd"/>
      <w:r w:rsidRPr="00820E70">
        <w:t xml:space="preserve"> the </w:t>
      </w:r>
      <w:r>
        <w:t>following:</w:t>
      </w:r>
    </w:p>
    <w:p w14:paraId="10D51675" w14:textId="77777777" w:rsidR="006667B2" w:rsidRDefault="006667B2" w:rsidP="00AE17BC">
      <w:pPr>
        <w:pStyle w:val="CDBGBULLETSTYLE"/>
        <w:spacing w:line="240" w:lineRule="auto"/>
        <w:ind w:left="720"/>
        <w:jc w:val="both"/>
      </w:pPr>
      <w:bookmarkStart w:id="34" w:name="_Hlk60047607"/>
      <w:r w:rsidRPr="00820E70">
        <w:t xml:space="preserve">100-year </w:t>
      </w:r>
      <w:proofErr w:type="gramStart"/>
      <w:r w:rsidRPr="00820E70">
        <w:t>floodplain</w:t>
      </w:r>
      <w:r>
        <w:t>;</w:t>
      </w:r>
      <w:proofErr w:type="gramEnd"/>
    </w:p>
    <w:p w14:paraId="59CB443E" w14:textId="77777777" w:rsidR="006667B2" w:rsidRDefault="006667B2" w:rsidP="00AE17BC">
      <w:pPr>
        <w:pStyle w:val="CDBGBULLETSTYLE"/>
        <w:spacing w:line="240" w:lineRule="auto"/>
        <w:ind w:left="720"/>
        <w:jc w:val="both"/>
      </w:pPr>
      <w:r w:rsidRPr="00820E70">
        <w:t>500-year floodplain for critical action</w:t>
      </w:r>
      <w:r>
        <w:t>s; or</w:t>
      </w:r>
    </w:p>
    <w:p w14:paraId="6605F223" w14:textId="66442090" w:rsidR="006667B2" w:rsidRDefault="00065638" w:rsidP="00AE17BC">
      <w:pPr>
        <w:pStyle w:val="CDBGBULLETSTYLE"/>
        <w:spacing w:line="240" w:lineRule="auto"/>
        <w:ind w:left="720"/>
        <w:jc w:val="both"/>
      </w:pPr>
      <w:r>
        <w:t>R</w:t>
      </w:r>
      <w:r w:rsidR="006667B2" w:rsidRPr="00820E70">
        <w:t>esults in new construction in a wetland</w:t>
      </w:r>
      <w:r w:rsidR="006667B2">
        <w:t xml:space="preserve">. </w:t>
      </w:r>
    </w:p>
    <w:bookmarkEnd w:id="34"/>
    <w:p w14:paraId="0D270CF9" w14:textId="77777777" w:rsidR="006667B2" w:rsidRDefault="006667B2" w:rsidP="00AE17BC">
      <w:pPr>
        <w:pStyle w:val="CDBGBODYSTYLE"/>
        <w:spacing w:line="240" w:lineRule="auto"/>
        <w:ind w:left="540"/>
      </w:pPr>
    </w:p>
    <w:p w14:paraId="2E296148" w14:textId="6DB35657" w:rsidR="006667B2" w:rsidRPr="00E12025" w:rsidRDefault="006667B2" w:rsidP="00AE17BC">
      <w:pPr>
        <w:pStyle w:val="1CDGBbodyArial11"/>
        <w:spacing w:line="240" w:lineRule="auto"/>
      </w:pPr>
      <w:proofErr w:type="gramStart"/>
      <w:r>
        <w:t>A critical</w:t>
      </w:r>
      <w:proofErr w:type="gramEnd"/>
      <w:r>
        <w:t xml:space="preserve"> action means any activity for which even a slight chance of flooding might be too great because such flooding might result in </w:t>
      </w:r>
      <w:r w:rsidRPr="00E12025">
        <w:t>a loss of life, injury to persons, or damage to property. Critical actions include activities that create, maintain, or extend the useful life of those structures or facilities that are likely to contain occupants who may not be sufficiently mobile to avoid loss of life or injury during flood or storm events, such as hospitals or residential care facilities</w:t>
      </w:r>
      <w:r w:rsidR="00D53013">
        <w:t>, s</w:t>
      </w:r>
      <w:r w:rsidRPr="00E12025">
        <w:t xml:space="preserve">ee </w:t>
      </w:r>
      <w:hyperlink r:id="rId15" w:history="1">
        <w:r w:rsidRPr="00147DB2">
          <w:rPr>
            <w:rStyle w:val="Hyperlink"/>
            <w:color w:val="auto"/>
          </w:rPr>
          <w:t>HUD Floodplain Management</w:t>
        </w:r>
      </w:hyperlink>
      <w:r w:rsidRPr="00147DB2">
        <w:t>.</w:t>
      </w:r>
      <w:r w:rsidRPr="00E12025">
        <w:t xml:space="preserve"> </w:t>
      </w:r>
    </w:p>
    <w:p w14:paraId="0485E32C" w14:textId="77777777" w:rsidR="006667B2" w:rsidRDefault="006667B2" w:rsidP="00AE17BC">
      <w:pPr>
        <w:pStyle w:val="1CDGBbodyArial11"/>
        <w:spacing w:line="240" w:lineRule="auto"/>
      </w:pPr>
    </w:p>
    <w:p w14:paraId="1F68C48F" w14:textId="140444F7" w:rsidR="006667B2" w:rsidRDefault="006667B2" w:rsidP="00AE17BC">
      <w:pPr>
        <w:pStyle w:val="1CDGBbodyArial11"/>
        <w:spacing w:line="240" w:lineRule="auto"/>
      </w:pPr>
      <w:r>
        <w:t>To determine whether a wetland exists,</w:t>
      </w:r>
      <w:r w:rsidRPr="00ED20C8">
        <w:t xml:space="preserve"> </w:t>
      </w:r>
      <w:r>
        <w:t>r</w:t>
      </w:r>
      <w:r w:rsidRPr="00820E70">
        <w:t xml:space="preserve">efer to </w:t>
      </w:r>
      <w:r>
        <w:t xml:space="preserve">24 CFR </w:t>
      </w:r>
      <w:r w:rsidRPr="00820E70">
        <w:t>§55.2(b)(11)</w:t>
      </w:r>
      <w:r w:rsidR="00D53013">
        <w:t>.</w:t>
      </w:r>
    </w:p>
    <w:p w14:paraId="5B091C04" w14:textId="77777777" w:rsidR="00C0402F" w:rsidRDefault="00C0402F" w:rsidP="00AE17BC">
      <w:pPr>
        <w:pStyle w:val="1CDGBbodyArial11"/>
        <w:spacing w:line="240" w:lineRule="auto"/>
      </w:pPr>
    </w:p>
    <w:p w14:paraId="49FCA438" w14:textId="77777777" w:rsidR="00F423C9" w:rsidRPr="007E5785" w:rsidRDefault="00F423C9" w:rsidP="00F423C9">
      <w:pPr>
        <w:pStyle w:val="1CDGBbodyArial11"/>
        <w:spacing w:line="240" w:lineRule="auto"/>
        <w:rPr>
          <w:color w:val="2F5496" w:themeColor="accent1" w:themeShade="BF"/>
          <w:shd w:val="clear" w:color="auto" w:fill="FFFFFF"/>
        </w:rPr>
      </w:pPr>
      <w:r w:rsidRPr="007E5785">
        <w:rPr>
          <w:b/>
          <w:bCs/>
          <w:color w:val="2F5496" w:themeColor="accent1" w:themeShade="BF"/>
        </w:rPr>
        <w:t>NOTE:</w:t>
      </w:r>
      <w:r w:rsidRPr="007E5785">
        <w:rPr>
          <w:color w:val="2F5496" w:themeColor="accent1" w:themeShade="BF"/>
        </w:rPr>
        <w:t xml:space="preserve"> Updated Part 55 floodplain management rules have been issued by HUD. </w:t>
      </w:r>
      <w:r w:rsidRPr="007E5785">
        <w:rPr>
          <w:color w:val="2F5496" w:themeColor="accent1" w:themeShade="BF"/>
          <w:szCs w:val="22"/>
        </w:rPr>
        <w:t xml:space="preserve">The revised 8-step process for floodplain decision-making requires the use of the new Federal Flood Risk Management Standard (FFRMS) floodplain map. </w:t>
      </w:r>
      <w:r w:rsidRPr="007E5785">
        <w:rPr>
          <w:color w:val="2F5496" w:themeColor="accent1" w:themeShade="BF"/>
          <w:shd w:val="clear" w:color="auto" w:fill="FFFFFF"/>
        </w:rPr>
        <w:t xml:space="preserve">This rule expands the floodplain of concern from the 100-year floodplain to a newly defined “FFRMS floodplain.” The FFRMS floodplain is an expanded area both horizontally and vertically from the 100-year floodplain that is based on future flood risk. The rule requires that newly constructed or substantially improved structures within this newly defined floodplain be elevated or floodproofed to this higher FFRMS floodplain elevation for protection. </w:t>
      </w:r>
      <w:r w:rsidRPr="007E5785">
        <w:rPr>
          <w:rStyle w:val="FootnoteReference"/>
          <w:color w:val="2F5496" w:themeColor="accent1" w:themeShade="BF"/>
          <w:shd w:val="clear" w:color="auto" w:fill="FFFFFF"/>
        </w:rPr>
        <w:footnoteReference w:id="11"/>
      </w:r>
    </w:p>
    <w:p w14:paraId="7C34E5BC" w14:textId="77777777" w:rsidR="00F423C9" w:rsidRPr="007E5785" w:rsidRDefault="00F423C9" w:rsidP="00F423C9">
      <w:pPr>
        <w:pStyle w:val="1CDGBbodyArial11"/>
        <w:spacing w:line="240" w:lineRule="auto"/>
        <w:rPr>
          <w:color w:val="2F5496" w:themeColor="accent1" w:themeShade="BF"/>
          <w:shd w:val="clear" w:color="auto" w:fill="FFFFFF"/>
        </w:rPr>
      </w:pPr>
    </w:p>
    <w:p w14:paraId="145E64FF" w14:textId="77777777" w:rsidR="00F423C9" w:rsidRPr="007E5785" w:rsidRDefault="00F423C9" w:rsidP="00F423C9">
      <w:pPr>
        <w:pStyle w:val="1CDGBbodyArial11"/>
        <w:spacing w:line="240" w:lineRule="auto"/>
        <w:rPr>
          <w:color w:val="2F5496" w:themeColor="accent1" w:themeShade="BF"/>
        </w:rPr>
      </w:pPr>
      <w:r w:rsidRPr="007E5785">
        <w:rPr>
          <w:color w:val="2F5496" w:themeColor="accent1" w:themeShade="BF"/>
          <w:shd w:val="clear" w:color="auto" w:fill="FFFFFF"/>
        </w:rPr>
        <w:t>For areas not yet mapped in the FFRMS floodplain maps, the Grant Recipient may use the FEMA Flood Insurance Rate Map (FIRM).  Local documentation may be used is no federal resources provide floodplain mapping for the area,</w:t>
      </w:r>
    </w:p>
    <w:p w14:paraId="114976EC" w14:textId="77777777" w:rsidR="006667B2" w:rsidRDefault="006667B2" w:rsidP="00AE17BC">
      <w:pPr>
        <w:pStyle w:val="1CDGBbodyArial11"/>
        <w:spacing w:line="240" w:lineRule="auto"/>
      </w:pPr>
    </w:p>
    <w:p w14:paraId="4A63EE76" w14:textId="7F1E9133" w:rsidR="006667B2" w:rsidRDefault="006667B2" w:rsidP="00AE17BC">
      <w:pPr>
        <w:pStyle w:val="1CDGBbodyArial11"/>
        <w:spacing w:line="240" w:lineRule="auto"/>
      </w:pPr>
      <w:r w:rsidRPr="00820E70">
        <w:t xml:space="preserve">If the action does not occur in a floodplain or result in new construction in a wetland, then no further compliance with this part is required. </w:t>
      </w:r>
      <w:r>
        <w:t xml:space="preserve">This determination is recorded on the TDA-GO environmental review page.  </w:t>
      </w:r>
    </w:p>
    <w:p w14:paraId="76BFFD94" w14:textId="77777777" w:rsidR="006667B2" w:rsidRDefault="006667B2" w:rsidP="00DA0BFE"/>
    <w:p w14:paraId="3E70195E" w14:textId="77777777" w:rsidR="006667B2" w:rsidRPr="00AF6EB0" w:rsidRDefault="006667B2" w:rsidP="00AE17BC">
      <w:pPr>
        <w:pStyle w:val="CDBGArial11BoldUnderlined"/>
        <w:spacing w:line="240" w:lineRule="auto"/>
        <w:rPr>
          <w:u w:val="none"/>
        </w:rPr>
      </w:pPr>
      <w:r w:rsidRPr="00AF6EB0">
        <w:rPr>
          <w:u w:val="none"/>
        </w:rPr>
        <w:t>Step 2</w:t>
      </w:r>
      <w:r>
        <w:rPr>
          <w:u w:val="none"/>
        </w:rPr>
        <w:t xml:space="preserve">. Floodplain/Wetlands </w:t>
      </w:r>
    </w:p>
    <w:p w14:paraId="6D89F5B3" w14:textId="3B88E87A" w:rsidR="006667B2" w:rsidRPr="00820E70" w:rsidRDefault="006667B2" w:rsidP="00AE17BC">
      <w:pPr>
        <w:pStyle w:val="1CDGBbodyArial11"/>
        <w:spacing w:line="240" w:lineRule="auto"/>
      </w:pPr>
      <w:r w:rsidRPr="00820E70">
        <w:t>Notify the public and agencies responsible for floodplain management or wetlands protection at the earliest possible time of a proposal to consider an action in a 100-year floodplain (or a 500-year floodplain for a Critical Action) or wetland</w:t>
      </w:r>
      <w:r>
        <w:t>. Engage</w:t>
      </w:r>
      <w:r w:rsidRPr="00820E70">
        <w:t xml:space="preserve"> the affected and interested public and agencies in the decision</w:t>
      </w:r>
      <w:r>
        <w:t>-</w:t>
      </w:r>
      <w:r w:rsidRPr="00820E70">
        <w:t>making process.</w:t>
      </w:r>
      <w:r w:rsidR="00C0402F">
        <w:t xml:space="preserve"> </w:t>
      </w:r>
    </w:p>
    <w:p w14:paraId="588831A3" w14:textId="7F39E944" w:rsidR="00111423" w:rsidRPr="007E5785" w:rsidRDefault="006667B2" w:rsidP="00AE17BC">
      <w:pPr>
        <w:pStyle w:val="CDBGBULLETSTYLE"/>
        <w:spacing w:line="240" w:lineRule="auto"/>
        <w:ind w:left="720"/>
        <w:jc w:val="both"/>
        <w:rPr>
          <w:color w:val="2F5496" w:themeColor="accent1" w:themeShade="BF"/>
        </w:rPr>
      </w:pPr>
      <w:r w:rsidRPr="007E5785">
        <w:rPr>
          <w:color w:val="2F5496" w:themeColor="accent1" w:themeShade="BF"/>
        </w:rPr>
        <w:t xml:space="preserve">The public notices required may be combined with other project notices wherever appropriate. </w:t>
      </w:r>
      <w:r w:rsidR="00111423" w:rsidRPr="007E5785">
        <w:rPr>
          <w:color w:val="2F5496" w:themeColor="accent1" w:themeShade="BF"/>
        </w:rPr>
        <w:t xml:space="preserve">Early &amp; Final Floodplain and Wetland notices may NOT be </w:t>
      </w:r>
      <w:proofErr w:type="gramStart"/>
      <w:r w:rsidR="00111423" w:rsidRPr="007E5785">
        <w:rPr>
          <w:color w:val="2F5496" w:themeColor="accent1" w:themeShade="BF"/>
        </w:rPr>
        <w:t>combined together</w:t>
      </w:r>
      <w:proofErr w:type="gramEnd"/>
      <w:r w:rsidR="00111423" w:rsidRPr="007E5785">
        <w:rPr>
          <w:color w:val="2F5496" w:themeColor="accent1" w:themeShade="BF"/>
        </w:rPr>
        <w:t xml:space="preserve"> in the same publication.</w:t>
      </w:r>
    </w:p>
    <w:p w14:paraId="71763655" w14:textId="71E5FA9C" w:rsidR="00111423" w:rsidRPr="007E5785" w:rsidRDefault="006667B2" w:rsidP="00AE17BC">
      <w:pPr>
        <w:pStyle w:val="CDBGBULLETSTYLE"/>
        <w:spacing w:line="240" w:lineRule="auto"/>
        <w:ind w:left="720"/>
        <w:jc w:val="both"/>
        <w:rPr>
          <w:color w:val="2F5496" w:themeColor="accent1" w:themeShade="BF"/>
        </w:rPr>
      </w:pPr>
      <w:r w:rsidRPr="007E5785">
        <w:rPr>
          <w:color w:val="2F5496" w:themeColor="accent1" w:themeShade="BF"/>
        </w:rPr>
        <w:t>Notices required under this part are considered vital documents under the Grant Recipient’s Limited English Proficiency Plan</w:t>
      </w:r>
      <w:r w:rsidR="00025C84" w:rsidRPr="007E5785">
        <w:rPr>
          <w:color w:val="2F5496" w:themeColor="accent1" w:themeShade="BF"/>
        </w:rPr>
        <w:t>, s</w:t>
      </w:r>
      <w:r w:rsidRPr="007E5785">
        <w:rPr>
          <w:color w:val="2F5496" w:themeColor="accent1" w:themeShade="BF"/>
        </w:rPr>
        <w:t xml:space="preserve">ee </w:t>
      </w:r>
      <w:r w:rsidRPr="007E5785">
        <w:rPr>
          <w:i/>
          <w:iCs/>
          <w:color w:val="2F5496" w:themeColor="accent1" w:themeShade="BF"/>
        </w:rPr>
        <w:t>Chapter 10</w:t>
      </w:r>
      <w:r w:rsidR="00025C84" w:rsidRPr="007E5785">
        <w:rPr>
          <w:i/>
          <w:iCs/>
          <w:color w:val="2F5496" w:themeColor="accent1" w:themeShade="BF"/>
        </w:rPr>
        <w:t xml:space="preserve"> Civil Rights</w:t>
      </w:r>
      <w:r w:rsidRPr="007E5785">
        <w:rPr>
          <w:color w:val="2F5496" w:themeColor="accent1" w:themeShade="BF"/>
        </w:rPr>
        <w:t>.</w:t>
      </w:r>
      <w:r w:rsidR="00111423" w:rsidRPr="007E5785">
        <w:rPr>
          <w:color w:val="2F5496" w:themeColor="accent1" w:themeShade="BF"/>
        </w:rPr>
        <w:t xml:space="preserve"> </w:t>
      </w:r>
    </w:p>
    <w:p w14:paraId="3E616281" w14:textId="438DF5AE" w:rsidR="00111423" w:rsidRPr="007E5785" w:rsidRDefault="00111423" w:rsidP="00AE17BC">
      <w:pPr>
        <w:pStyle w:val="CDBGBULLETSTYLE"/>
        <w:spacing w:line="240" w:lineRule="auto"/>
        <w:ind w:left="720"/>
        <w:jc w:val="both"/>
        <w:rPr>
          <w:color w:val="2F5496" w:themeColor="accent1" w:themeShade="BF"/>
        </w:rPr>
      </w:pPr>
      <w:r w:rsidRPr="007E5785">
        <w:rPr>
          <w:color w:val="2F5496" w:themeColor="accent1" w:themeShade="BF"/>
        </w:rPr>
        <w:t>A</w:t>
      </w:r>
      <w:r w:rsidR="006667B2" w:rsidRPr="007E5785">
        <w:rPr>
          <w:color w:val="2F5496" w:themeColor="accent1" w:themeShade="BF"/>
        </w:rPr>
        <w:t xml:space="preserve">ll notices must be </w:t>
      </w:r>
      <w:r w:rsidRPr="007E5785">
        <w:rPr>
          <w:color w:val="2F5496" w:themeColor="accent1" w:themeShade="BF"/>
        </w:rPr>
        <w:t xml:space="preserve">made available to the public by: </w:t>
      </w:r>
    </w:p>
    <w:p w14:paraId="1A87CEFF" w14:textId="7AAE56C3" w:rsidR="00111423" w:rsidRPr="007E5785" w:rsidRDefault="00111423" w:rsidP="00111423">
      <w:pPr>
        <w:pStyle w:val="CDBGBULLETSTYLE"/>
        <w:numPr>
          <w:ilvl w:val="1"/>
          <w:numId w:val="8"/>
        </w:numPr>
        <w:spacing w:line="240" w:lineRule="auto"/>
        <w:jc w:val="both"/>
        <w:rPr>
          <w:color w:val="2F5496" w:themeColor="accent1" w:themeShade="BF"/>
        </w:rPr>
      </w:pPr>
      <w:r w:rsidRPr="007E5785">
        <w:rPr>
          <w:color w:val="2F5496" w:themeColor="accent1" w:themeShade="BF"/>
        </w:rPr>
        <w:t xml:space="preserve">publishing </w:t>
      </w:r>
      <w:r w:rsidR="006667B2" w:rsidRPr="007E5785">
        <w:rPr>
          <w:color w:val="2F5496" w:themeColor="accent1" w:themeShade="BF"/>
        </w:rPr>
        <w:t xml:space="preserve">in an appropriate, </w:t>
      </w:r>
      <w:proofErr w:type="gramStart"/>
      <w:r w:rsidR="006667B2" w:rsidRPr="007E5785">
        <w:rPr>
          <w:color w:val="2F5496" w:themeColor="accent1" w:themeShade="BF"/>
        </w:rPr>
        <w:t>locally-printed</w:t>
      </w:r>
      <w:proofErr w:type="gramEnd"/>
      <w:r w:rsidR="006667B2" w:rsidRPr="007E5785">
        <w:rPr>
          <w:color w:val="2F5496" w:themeColor="accent1" w:themeShade="BF"/>
        </w:rPr>
        <w:t xml:space="preserve"> news medium</w:t>
      </w:r>
      <w:r w:rsidRPr="007E5785">
        <w:rPr>
          <w:color w:val="2F5496" w:themeColor="accent1" w:themeShade="BF"/>
        </w:rPr>
        <w:t xml:space="preserve"> OR </w:t>
      </w:r>
    </w:p>
    <w:p w14:paraId="4F372B15" w14:textId="17A09C10" w:rsidR="00111423" w:rsidRPr="007E5785" w:rsidRDefault="00111423" w:rsidP="00111423">
      <w:pPr>
        <w:pStyle w:val="CDBGBULLETSTYLE"/>
        <w:numPr>
          <w:ilvl w:val="1"/>
          <w:numId w:val="8"/>
        </w:numPr>
        <w:spacing w:line="240" w:lineRule="auto"/>
        <w:jc w:val="both"/>
        <w:rPr>
          <w:color w:val="2F5496" w:themeColor="accent1" w:themeShade="BF"/>
        </w:rPr>
      </w:pPr>
      <w:r w:rsidRPr="007E5785">
        <w:rPr>
          <w:snapToGrid w:val="0"/>
          <w:color w:val="2F5496" w:themeColor="accent1" w:themeShade="BF"/>
        </w:rPr>
        <w:t xml:space="preserve">posting the notice in one public place accessible to the </w:t>
      </w:r>
      <w:proofErr w:type="gramStart"/>
      <w:r w:rsidRPr="007E5785">
        <w:rPr>
          <w:snapToGrid w:val="0"/>
          <w:color w:val="2F5496" w:themeColor="accent1" w:themeShade="BF"/>
        </w:rPr>
        <w:t>general public</w:t>
      </w:r>
      <w:proofErr w:type="gramEnd"/>
      <w:r w:rsidRPr="007E5785">
        <w:rPr>
          <w:snapToGrid w:val="0"/>
          <w:color w:val="2F5496" w:themeColor="accent1" w:themeShade="BF"/>
        </w:rPr>
        <w:t xml:space="preserve"> at the time of the posting, such as the courthouse/city hall, </w:t>
      </w:r>
      <w:r w:rsidRPr="007E5785">
        <w:rPr>
          <w:b/>
          <w:bCs/>
          <w:snapToGrid w:val="0"/>
          <w:color w:val="2F5496" w:themeColor="accent1" w:themeShade="BF"/>
        </w:rPr>
        <w:t>and</w:t>
      </w:r>
      <w:r w:rsidRPr="007E5785">
        <w:rPr>
          <w:snapToGrid w:val="0"/>
          <w:color w:val="2F5496" w:themeColor="accent1" w:themeShade="BF"/>
        </w:rPr>
        <w:t xml:space="preserve"> posting on Grant Recipient’s website as described in Chapter 1.1.5.  </w:t>
      </w:r>
    </w:p>
    <w:p w14:paraId="23DDDE89" w14:textId="044DAAD0" w:rsidR="00933DD6" w:rsidRPr="007E5785" w:rsidRDefault="00111423" w:rsidP="0063616A">
      <w:pPr>
        <w:pStyle w:val="CDBGBULLETSTYLE"/>
        <w:numPr>
          <w:ilvl w:val="1"/>
          <w:numId w:val="8"/>
        </w:numPr>
        <w:spacing w:line="240" w:lineRule="auto"/>
        <w:jc w:val="both"/>
        <w:rPr>
          <w:color w:val="2F5496" w:themeColor="accent1" w:themeShade="BF"/>
        </w:rPr>
      </w:pPr>
      <w:r w:rsidRPr="007E5785">
        <w:rPr>
          <w:snapToGrid w:val="0"/>
          <w:color w:val="2F5496" w:themeColor="accent1" w:themeShade="BF"/>
        </w:rPr>
        <w:t xml:space="preserve">In </w:t>
      </w:r>
      <w:proofErr w:type="gramStart"/>
      <w:r w:rsidRPr="007E5785">
        <w:rPr>
          <w:snapToGrid w:val="0"/>
          <w:color w:val="2F5496" w:themeColor="accent1" w:themeShade="BF"/>
        </w:rPr>
        <w:t>addition</w:t>
      </w:r>
      <w:proofErr w:type="gramEnd"/>
      <w:r w:rsidRPr="007E5785">
        <w:rPr>
          <w:color w:val="2F5496" w:themeColor="accent1" w:themeShade="BF"/>
        </w:rPr>
        <w:t xml:space="preserve"> the notices</w:t>
      </w:r>
      <w:r w:rsidR="006667B2" w:rsidRPr="007E5785">
        <w:rPr>
          <w:color w:val="2F5496" w:themeColor="accent1" w:themeShade="BF"/>
        </w:rPr>
        <w:t xml:space="preserve"> must be sent to federal, state, and local public agencies, organizations, and, where not otherwise covered, individuals known to be interested in the proposed action.</w:t>
      </w:r>
    </w:p>
    <w:p w14:paraId="2581D2EC" w14:textId="0E49978B" w:rsidR="006667B2" w:rsidRPr="0028395B" w:rsidRDefault="006667B2" w:rsidP="00AE17BC">
      <w:pPr>
        <w:pStyle w:val="CDBGBULLETSTYLE"/>
        <w:spacing w:line="240" w:lineRule="auto"/>
        <w:ind w:left="720"/>
        <w:jc w:val="both"/>
      </w:pPr>
      <w:r w:rsidRPr="00232AB9">
        <w:t>A minimum of</w:t>
      </w:r>
      <w:r w:rsidRPr="00820E70">
        <w:t xml:space="preserve"> 15</w:t>
      </w:r>
      <w:r w:rsidR="00E21346">
        <w:t xml:space="preserve"> </w:t>
      </w:r>
      <w:r>
        <w:t>c</w:t>
      </w:r>
      <w:r w:rsidRPr="00820E70">
        <w:t>alendar</w:t>
      </w:r>
      <w:r>
        <w:t>-</w:t>
      </w:r>
      <w:r w:rsidRPr="00820E70">
        <w:t>days shall be allowed for comment on the public notice.</w:t>
      </w:r>
    </w:p>
    <w:p w14:paraId="008560C2" w14:textId="77777777" w:rsidR="006667B2" w:rsidRPr="0028395B" w:rsidRDefault="006667B2" w:rsidP="00AE17BC">
      <w:pPr>
        <w:pStyle w:val="CDBGBULLETSTYLE"/>
        <w:spacing w:line="240" w:lineRule="auto"/>
        <w:ind w:left="720"/>
        <w:jc w:val="both"/>
      </w:pPr>
      <w:r w:rsidRPr="00820E70">
        <w:t xml:space="preserve">A notice under this paragraph shall </w:t>
      </w:r>
      <w:r>
        <w:t>include</w:t>
      </w:r>
    </w:p>
    <w:p w14:paraId="17DDAEB9" w14:textId="7634E96C" w:rsidR="006667B2" w:rsidRDefault="00D53013" w:rsidP="00AE17BC">
      <w:pPr>
        <w:pStyle w:val="CDBGBULLETSTYLE"/>
        <w:numPr>
          <w:ilvl w:val="1"/>
          <w:numId w:val="8"/>
        </w:numPr>
        <w:spacing w:line="240" w:lineRule="auto"/>
        <w:ind w:left="1080"/>
        <w:jc w:val="both"/>
      </w:pPr>
      <w:r>
        <w:t>P</w:t>
      </w:r>
      <w:r w:rsidR="006667B2">
        <w:t>roject</w:t>
      </w:r>
      <w:r w:rsidR="006667B2" w:rsidRPr="00820E70">
        <w:t xml:space="preserve"> name</w:t>
      </w:r>
    </w:p>
    <w:p w14:paraId="2E84A42F" w14:textId="66EBDCD4" w:rsidR="006667B2" w:rsidRDefault="00D53013" w:rsidP="00AE17BC">
      <w:pPr>
        <w:pStyle w:val="CDBGBULLETSTYLE"/>
        <w:numPr>
          <w:ilvl w:val="1"/>
          <w:numId w:val="8"/>
        </w:numPr>
        <w:spacing w:line="240" w:lineRule="auto"/>
        <w:ind w:left="1080"/>
        <w:jc w:val="both"/>
      </w:pPr>
      <w:r>
        <w:t>P</w:t>
      </w:r>
      <w:r w:rsidR="006667B2" w:rsidRPr="00820E70">
        <w:t>roposed location</w:t>
      </w:r>
    </w:p>
    <w:p w14:paraId="319B6E2A" w14:textId="0183A6E2" w:rsidR="006667B2" w:rsidRDefault="00D53013" w:rsidP="00AE17BC">
      <w:pPr>
        <w:pStyle w:val="CDBGBULLETSTYLE"/>
        <w:numPr>
          <w:ilvl w:val="1"/>
          <w:numId w:val="8"/>
        </w:numPr>
        <w:spacing w:line="240" w:lineRule="auto"/>
        <w:ind w:left="1080"/>
        <w:jc w:val="both"/>
      </w:pPr>
      <w:r>
        <w:t>D</w:t>
      </w:r>
      <w:r w:rsidR="006667B2" w:rsidRPr="00820E70">
        <w:t>escription of the activity</w:t>
      </w:r>
    </w:p>
    <w:p w14:paraId="32DDFD3D" w14:textId="32A5D4DD" w:rsidR="006667B2" w:rsidRDefault="00D53013" w:rsidP="00AE17BC">
      <w:pPr>
        <w:pStyle w:val="CDBGBULLETSTYLE"/>
        <w:numPr>
          <w:ilvl w:val="1"/>
          <w:numId w:val="8"/>
        </w:numPr>
        <w:spacing w:line="240" w:lineRule="auto"/>
        <w:ind w:left="1080"/>
        <w:jc w:val="both"/>
      </w:pPr>
      <w:r>
        <w:t>T</w:t>
      </w:r>
      <w:r w:rsidR="006667B2" w:rsidRPr="00820E70">
        <w:t>he total number of acres of floodplain or wetland involved</w:t>
      </w:r>
    </w:p>
    <w:p w14:paraId="0948E34B" w14:textId="1EE3F4EF" w:rsidR="006667B2" w:rsidRDefault="00D53013" w:rsidP="00AE17BC">
      <w:pPr>
        <w:pStyle w:val="CDBGBULLETSTYLE"/>
        <w:numPr>
          <w:ilvl w:val="1"/>
          <w:numId w:val="8"/>
        </w:numPr>
        <w:spacing w:line="240" w:lineRule="auto"/>
        <w:ind w:left="1080"/>
        <w:jc w:val="both"/>
      </w:pPr>
      <w:r>
        <w:t>T</w:t>
      </w:r>
      <w:r w:rsidR="006667B2" w:rsidRPr="00820E70">
        <w:t>he related natural and beneficial functions and values of the floodplain or wetland that may be</w:t>
      </w:r>
      <w:r w:rsidR="006667B2">
        <w:t xml:space="preserve"> </w:t>
      </w:r>
      <w:r w:rsidR="006667B2" w:rsidRPr="00820E70">
        <w:t>adversely affected by the proposed activity</w:t>
      </w:r>
    </w:p>
    <w:p w14:paraId="4C447313" w14:textId="2A384137" w:rsidR="006667B2" w:rsidRDefault="00D53013" w:rsidP="00AE17BC">
      <w:pPr>
        <w:pStyle w:val="CDBGBULLETSTYLE"/>
        <w:numPr>
          <w:ilvl w:val="1"/>
          <w:numId w:val="8"/>
        </w:numPr>
        <w:spacing w:line="240" w:lineRule="auto"/>
        <w:ind w:left="1080"/>
        <w:jc w:val="both"/>
      </w:pPr>
      <w:r>
        <w:t>T</w:t>
      </w:r>
      <w:r w:rsidR="006667B2" w:rsidRPr="00820E70">
        <w:t xml:space="preserve">he HUD approving </w:t>
      </w:r>
      <w:proofErr w:type="gramStart"/>
      <w:r w:rsidR="006667B2" w:rsidRPr="00820E70">
        <w:t>official</w:t>
      </w:r>
      <w:proofErr w:type="gramEnd"/>
      <w:r w:rsidR="006667B2" w:rsidRPr="00820E70">
        <w:t xml:space="preserve"> or the </w:t>
      </w:r>
      <w:r w:rsidR="006667B2">
        <w:t>c</w:t>
      </w:r>
      <w:r w:rsidR="006667B2" w:rsidRPr="00820E70">
        <w:t xml:space="preserve">ertifying </w:t>
      </w:r>
      <w:r w:rsidR="006667B2">
        <w:t>o</w:t>
      </w:r>
      <w:r w:rsidR="006667B2" w:rsidRPr="00820E70">
        <w:t xml:space="preserve">fficer of the responsible entity authorized by 24 CFR </w:t>
      </w:r>
      <w:r w:rsidR="006667B2">
        <w:t>P</w:t>
      </w:r>
      <w:r w:rsidR="006667B2" w:rsidRPr="00820E70">
        <w:t>art 58</w:t>
      </w:r>
    </w:p>
    <w:p w14:paraId="78FF7248" w14:textId="4B2AA8A5" w:rsidR="006667B2" w:rsidRPr="00820E70" w:rsidRDefault="00D53013" w:rsidP="00AE17BC">
      <w:pPr>
        <w:pStyle w:val="CDBGBULLETSTYLE"/>
        <w:numPr>
          <w:ilvl w:val="1"/>
          <w:numId w:val="8"/>
        </w:numPr>
        <w:spacing w:line="240" w:lineRule="auto"/>
        <w:ind w:left="1080"/>
        <w:jc w:val="both"/>
      </w:pPr>
      <w:r>
        <w:t>T</w:t>
      </w:r>
      <w:r w:rsidR="006667B2" w:rsidRPr="00820E70">
        <w:t>he phone number to call for information</w:t>
      </w:r>
      <w:r w:rsidR="006667B2">
        <w:t xml:space="preserve"> with</w:t>
      </w:r>
      <w:r w:rsidR="006667B2" w:rsidRPr="00820E70">
        <w:t xml:space="preserve"> the </w:t>
      </w:r>
      <w:r w:rsidR="006667B2">
        <w:t xml:space="preserve">operating </w:t>
      </w:r>
      <w:r w:rsidR="006667B2" w:rsidRPr="00820E70">
        <w:t>hours of HUD or the responsible entity</w:t>
      </w:r>
      <w:r w:rsidR="006667B2">
        <w:t>’</w:t>
      </w:r>
      <w:r w:rsidR="006667B2" w:rsidRPr="00820E70">
        <w:t xml:space="preserve">s office, and any </w:t>
      </w:r>
      <w:r w:rsidR="006667B2">
        <w:t>web</w:t>
      </w:r>
      <w:r w:rsidR="006667B2" w:rsidRPr="00820E70">
        <w:t>site at which a full description of the proposed action may be reviewed</w:t>
      </w:r>
    </w:p>
    <w:p w14:paraId="7AD03C86" w14:textId="77777777" w:rsidR="006667B2" w:rsidRDefault="006667B2" w:rsidP="00AE17BC">
      <w:pPr>
        <w:pStyle w:val="CDBGArial11BoldUnderlined"/>
        <w:spacing w:line="240" w:lineRule="auto"/>
        <w:ind w:left="540"/>
        <w:rPr>
          <w:u w:val="none"/>
        </w:rPr>
      </w:pPr>
    </w:p>
    <w:p w14:paraId="21AED100" w14:textId="77777777" w:rsidR="006667B2" w:rsidRPr="00AF6EB0" w:rsidRDefault="006667B2" w:rsidP="00AE17BC">
      <w:pPr>
        <w:pStyle w:val="CDBGArial11BoldUnderlined"/>
        <w:spacing w:line="240" w:lineRule="auto"/>
        <w:rPr>
          <w:u w:val="none"/>
        </w:rPr>
      </w:pPr>
      <w:r w:rsidRPr="00AF6EB0">
        <w:rPr>
          <w:u w:val="none"/>
        </w:rPr>
        <w:t>Step 3</w:t>
      </w:r>
      <w:r>
        <w:rPr>
          <w:u w:val="none"/>
        </w:rPr>
        <w:t xml:space="preserve">. Floodplain/Wetlands </w:t>
      </w:r>
    </w:p>
    <w:p w14:paraId="4A94AB44" w14:textId="77777777" w:rsidR="006667B2" w:rsidRPr="00820E70" w:rsidRDefault="006667B2" w:rsidP="00AE17BC">
      <w:pPr>
        <w:pStyle w:val="1CDGBbodyArial11"/>
        <w:spacing w:line="240" w:lineRule="auto"/>
      </w:pPr>
      <w:r w:rsidRPr="00820E70">
        <w:t>Identify and evaluate practicable alternatives to locating the proposed action in a 100-year floodplain (or a 500-year floodplain for a Critical Action) or wetland.</w:t>
      </w:r>
    </w:p>
    <w:p w14:paraId="447B275F" w14:textId="08A87B44" w:rsidR="006667B2" w:rsidRPr="00820E70" w:rsidRDefault="006667B2" w:rsidP="00AE17BC">
      <w:pPr>
        <w:pStyle w:val="CDBGBULLETSTYLE"/>
        <w:spacing w:line="240" w:lineRule="auto"/>
        <w:ind w:left="720"/>
        <w:jc w:val="both"/>
      </w:pPr>
      <w:r w:rsidRPr="00820E70">
        <w:t xml:space="preserve">Except as provided in </w:t>
      </w:r>
      <w:r>
        <w:t>24 CFR</w:t>
      </w:r>
      <w:r w:rsidRPr="00BA741E">
        <w:rPr>
          <w:bCs/>
        </w:rPr>
        <w:t xml:space="preserve"> </w:t>
      </w:r>
      <w:r w:rsidRPr="00873A3B">
        <w:rPr>
          <w:bCs/>
        </w:rPr>
        <w:t>§</w:t>
      </w:r>
      <w:r>
        <w:t>55.20</w:t>
      </w:r>
      <w:r w:rsidRPr="00820E70">
        <w:t>(c)(3) of this section, HUD or the responsible entity's consideration of practicable alternatives to the proposed site selected for a project should include</w:t>
      </w:r>
      <w:r w:rsidR="00933DD6">
        <w:t>:</w:t>
      </w:r>
    </w:p>
    <w:p w14:paraId="43A22EEB" w14:textId="3E9492FA" w:rsidR="006667B2" w:rsidRPr="00820E70" w:rsidRDefault="00065638" w:rsidP="00AE17BC">
      <w:pPr>
        <w:pStyle w:val="CDBGBULLETSTYLE"/>
        <w:numPr>
          <w:ilvl w:val="1"/>
          <w:numId w:val="8"/>
        </w:numPr>
        <w:spacing w:line="240" w:lineRule="auto"/>
        <w:ind w:left="1080"/>
        <w:jc w:val="both"/>
      </w:pPr>
      <w:r>
        <w:t>L</w:t>
      </w:r>
      <w:r w:rsidR="006667B2" w:rsidRPr="00820E70">
        <w:t xml:space="preserve">ocations outside and not affecting the 100-year floodplain (or the 500-year floodplain for a Critical Action) or </w:t>
      </w:r>
      <w:proofErr w:type="gramStart"/>
      <w:r w:rsidR="006667B2" w:rsidRPr="00820E70">
        <w:t>wetland;</w:t>
      </w:r>
      <w:proofErr w:type="gramEnd"/>
    </w:p>
    <w:p w14:paraId="3FEECB2F" w14:textId="64D7587C" w:rsidR="006667B2" w:rsidRPr="00820E70" w:rsidRDefault="00065638" w:rsidP="00AE17BC">
      <w:pPr>
        <w:pStyle w:val="CDBGBULLETSTYLE"/>
        <w:numPr>
          <w:ilvl w:val="1"/>
          <w:numId w:val="8"/>
        </w:numPr>
        <w:spacing w:line="240" w:lineRule="auto"/>
        <w:ind w:left="1080"/>
        <w:jc w:val="both"/>
      </w:pPr>
      <w:r>
        <w:t>A</w:t>
      </w:r>
      <w:r w:rsidR="006667B2" w:rsidRPr="00820E70">
        <w:t>lternative methods to serve the identical project objective, including feasible technological alternatives; and</w:t>
      </w:r>
    </w:p>
    <w:p w14:paraId="46F58D6F" w14:textId="346A7AD1" w:rsidR="006667B2" w:rsidRPr="00820E70" w:rsidRDefault="00065638" w:rsidP="00AE17BC">
      <w:pPr>
        <w:pStyle w:val="CDBGBULLETSTYLE"/>
        <w:numPr>
          <w:ilvl w:val="1"/>
          <w:numId w:val="8"/>
        </w:numPr>
        <w:spacing w:line="240" w:lineRule="auto"/>
        <w:ind w:left="1080"/>
        <w:jc w:val="both"/>
      </w:pPr>
      <w:r>
        <w:t>A</w:t>
      </w:r>
      <w:r w:rsidR="006667B2" w:rsidRPr="00820E70">
        <w:t xml:space="preserve"> determination not to approve any action proposing the occupancy or modification of a floodplain or wetland.</w:t>
      </w:r>
    </w:p>
    <w:p w14:paraId="553FC07A" w14:textId="77777777" w:rsidR="006667B2" w:rsidRPr="00820E70" w:rsidRDefault="006667B2" w:rsidP="00AE17BC">
      <w:pPr>
        <w:pStyle w:val="CDBGBULLETSTYLE"/>
        <w:spacing w:line="240" w:lineRule="auto"/>
        <w:ind w:left="720"/>
        <w:jc w:val="both"/>
      </w:pPr>
      <w:r w:rsidRPr="00820E70">
        <w:t>Practicability of alternative sites should be addressed considering the following:</w:t>
      </w:r>
    </w:p>
    <w:p w14:paraId="09C7EA68" w14:textId="77777777" w:rsidR="006667B2" w:rsidRPr="00820E70" w:rsidRDefault="006667B2" w:rsidP="00AE17BC">
      <w:pPr>
        <w:pStyle w:val="CDBGBULLETSTYLE"/>
        <w:numPr>
          <w:ilvl w:val="1"/>
          <w:numId w:val="8"/>
        </w:numPr>
        <w:spacing w:line="240" w:lineRule="auto"/>
        <w:ind w:left="1080"/>
        <w:jc w:val="both"/>
      </w:pPr>
      <w:r w:rsidRPr="00820E70">
        <w:t xml:space="preserve">Natural values such as topography, habitat, and </w:t>
      </w:r>
      <w:proofErr w:type="gramStart"/>
      <w:r w:rsidRPr="00820E70">
        <w:t>hazards;</w:t>
      </w:r>
      <w:proofErr w:type="gramEnd"/>
    </w:p>
    <w:p w14:paraId="55784257" w14:textId="77777777" w:rsidR="006667B2" w:rsidRPr="00820E70" w:rsidRDefault="006667B2" w:rsidP="00AE17BC">
      <w:pPr>
        <w:pStyle w:val="CDBGBULLETSTYLE"/>
        <w:numPr>
          <w:ilvl w:val="1"/>
          <w:numId w:val="8"/>
        </w:numPr>
        <w:spacing w:line="240" w:lineRule="auto"/>
        <w:ind w:left="1080"/>
        <w:jc w:val="both"/>
      </w:pPr>
      <w:r w:rsidRPr="00820E70">
        <w:t>Social values such as aesthetics, historic and cultural values, land use patterns, and environmental justice; and</w:t>
      </w:r>
    </w:p>
    <w:p w14:paraId="0195E40B" w14:textId="77777777" w:rsidR="006667B2" w:rsidRDefault="006667B2" w:rsidP="00AE17BC">
      <w:pPr>
        <w:pStyle w:val="CDBGBULLETSTYLE"/>
        <w:numPr>
          <w:ilvl w:val="1"/>
          <w:numId w:val="8"/>
        </w:numPr>
        <w:spacing w:line="240" w:lineRule="auto"/>
        <w:ind w:left="1080"/>
        <w:jc w:val="both"/>
      </w:pPr>
      <w:r w:rsidRPr="00820E70">
        <w:t>Economic values such as the cost of space, construction, services, and relocation.</w:t>
      </w:r>
    </w:p>
    <w:p w14:paraId="6E5A24B4" w14:textId="77777777" w:rsidR="006667B2" w:rsidRPr="00CD25DF" w:rsidRDefault="006667B2" w:rsidP="00AE17BC">
      <w:pPr>
        <w:pStyle w:val="CDBGBULLETSTYLE"/>
        <w:numPr>
          <w:ilvl w:val="0"/>
          <w:numId w:val="0"/>
        </w:numPr>
        <w:spacing w:line="240" w:lineRule="auto"/>
        <w:ind w:left="1080"/>
        <w:jc w:val="both"/>
      </w:pPr>
    </w:p>
    <w:p w14:paraId="133EFBC4" w14:textId="77777777" w:rsidR="006667B2" w:rsidRPr="00AF6EB0" w:rsidRDefault="006667B2" w:rsidP="00AE17BC">
      <w:pPr>
        <w:pStyle w:val="CDBGArial11BoldUnderlined"/>
        <w:spacing w:line="240" w:lineRule="auto"/>
        <w:rPr>
          <w:u w:val="none"/>
        </w:rPr>
      </w:pPr>
      <w:r w:rsidRPr="00AF6EB0">
        <w:rPr>
          <w:u w:val="none"/>
        </w:rPr>
        <w:t>Step 4</w:t>
      </w:r>
      <w:r>
        <w:rPr>
          <w:u w:val="none"/>
        </w:rPr>
        <w:t xml:space="preserve">. Floodplain/Wetlands </w:t>
      </w:r>
    </w:p>
    <w:p w14:paraId="724D3C48" w14:textId="77777777" w:rsidR="006667B2" w:rsidRPr="00820E70" w:rsidRDefault="006667B2" w:rsidP="00AE17BC">
      <w:pPr>
        <w:pStyle w:val="1CDGBbodyArial11"/>
        <w:spacing w:line="240" w:lineRule="auto"/>
      </w:pPr>
      <w:r w:rsidRPr="00820E70">
        <w:t>Identify and evaluate the potential direct and indirect impacts associated with the occupancy or modification of the 100-year floodplain (or the 500-year floodplain for a Critical Action) or the wetland and the potential direct and indirect support of floodplain and wetland development that could result from the proposed action.</w:t>
      </w:r>
    </w:p>
    <w:p w14:paraId="180E8B32" w14:textId="77777777" w:rsidR="006667B2" w:rsidRPr="00820E70" w:rsidRDefault="006667B2" w:rsidP="00AE17BC">
      <w:pPr>
        <w:pStyle w:val="CDBGBULLETSTYLE"/>
        <w:spacing w:line="240" w:lineRule="auto"/>
        <w:ind w:left="720"/>
        <w:jc w:val="both"/>
      </w:pPr>
      <w:r w:rsidRPr="006C1C0F">
        <w:rPr>
          <w:b/>
          <w:bCs/>
        </w:rPr>
        <w:t xml:space="preserve">Floodplain </w:t>
      </w:r>
      <w:r>
        <w:rPr>
          <w:b/>
          <w:bCs/>
        </w:rPr>
        <w:t>E</w:t>
      </w:r>
      <w:r w:rsidRPr="006C1C0F">
        <w:rPr>
          <w:b/>
          <w:bCs/>
        </w:rPr>
        <w:t>valuation</w:t>
      </w:r>
      <w:r>
        <w:rPr>
          <w:b/>
          <w:bCs/>
        </w:rPr>
        <w:t xml:space="preserve"> </w:t>
      </w:r>
      <w:r w:rsidRPr="00A34F44">
        <w:t>–</w:t>
      </w:r>
      <w:r>
        <w:rPr>
          <w:b/>
          <w:bCs/>
        </w:rPr>
        <w:t xml:space="preserve"> </w:t>
      </w:r>
      <w:r w:rsidRPr="00820E70">
        <w:t>The focus of the floodplain evaluation should be on adverse impacts to lives and property, and on natural and beneficial floodplain values. Natural and beneficial values include</w:t>
      </w:r>
    </w:p>
    <w:p w14:paraId="00FECC84" w14:textId="73F681BC" w:rsidR="006667B2" w:rsidRPr="00820E70" w:rsidRDefault="00065638" w:rsidP="00AE17BC">
      <w:pPr>
        <w:pStyle w:val="CDBGBULLETSTYLE"/>
        <w:numPr>
          <w:ilvl w:val="1"/>
          <w:numId w:val="8"/>
        </w:numPr>
        <w:spacing w:line="240" w:lineRule="auto"/>
        <w:ind w:left="1080"/>
        <w:jc w:val="both"/>
      </w:pPr>
      <w:r>
        <w:t>W</w:t>
      </w:r>
      <w:r w:rsidR="006667B2" w:rsidRPr="00820E70">
        <w:t xml:space="preserve">ater resources such as natural moderation of floods, water quality maintenance, and groundwater </w:t>
      </w:r>
      <w:proofErr w:type="gramStart"/>
      <w:r w:rsidR="006667B2" w:rsidRPr="00820E70">
        <w:t>recharge;</w:t>
      </w:r>
      <w:proofErr w:type="gramEnd"/>
    </w:p>
    <w:p w14:paraId="49F8A524" w14:textId="52DBF305" w:rsidR="006667B2" w:rsidRPr="00820E70" w:rsidRDefault="00065638" w:rsidP="00AE17BC">
      <w:pPr>
        <w:pStyle w:val="CDBGBULLETSTYLE"/>
        <w:numPr>
          <w:ilvl w:val="1"/>
          <w:numId w:val="8"/>
        </w:numPr>
        <w:spacing w:line="240" w:lineRule="auto"/>
        <w:ind w:left="1080"/>
        <w:jc w:val="both"/>
      </w:pPr>
      <w:r>
        <w:t>L</w:t>
      </w:r>
      <w:r w:rsidR="006667B2" w:rsidRPr="00820E70">
        <w:t xml:space="preserve">iving resources such as flora and </w:t>
      </w:r>
      <w:proofErr w:type="gramStart"/>
      <w:r w:rsidR="006667B2" w:rsidRPr="00820E70">
        <w:t>fauna;</w:t>
      </w:r>
      <w:proofErr w:type="gramEnd"/>
    </w:p>
    <w:p w14:paraId="62E430F7" w14:textId="5B06EC0B" w:rsidR="006667B2" w:rsidRPr="00820E70" w:rsidRDefault="00065638" w:rsidP="00AE17BC">
      <w:pPr>
        <w:pStyle w:val="CDBGBULLETSTYLE"/>
        <w:numPr>
          <w:ilvl w:val="1"/>
          <w:numId w:val="8"/>
        </w:numPr>
        <w:spacing w:line="240" w:lineRule="auto"/>
        <w:ind w:left="1080"/>
        <w:jc w:val="both"/>
      </w:pPr>
      <w:r>
        <w:t>C</w:t>
      </w:r>
      <w:r w:rsidR="006667B2" w:rsidRPr="00820E70">
        <w:t>ultural resources such as archaeological, historic, and recreational aspects; and</w:t>
      </w:r>
    </w:p>
    <w:p w14:paraId="673765B2" w14:textId="339A4B0C" w:rsidR="006667B2" w:rsidRDefault="00065638" w:rsidP="00AE17BC">
      <w:pPr>
        <w:pStyle w:val="CDBGBULLETSTYLE"/>
        <w:numPr>
          <w:ilvl w:val="1"/>
          <w:numId w:val="8"/>
        </w:numPr>
        <w:spacing w:line="240" w:lineRule="auto"/>
        <w:ind w:left="1080"/>
        <w:jc w:val="both"/>
      </w:pPr>
      <w:r>
        <w:t>A</w:t>
      </w:r>
      <w:r w:rsidR="006667B2" w:rsidRPr="00820E70">
        <w:t>gricultural, aquacultural, and forestry resources.</w:t>
      </w:r>
    </w:p>
    <w:p w14:paraId="53454211" w14:textId="77777777" w:rsidR="006667B2" w:rsidRPr="00820E70" w:rsidRDefault="006667B2" w:rsidP="00AE17BC">
      <w:pPr>
        <w:pStyle w:val="CDBGBULLETSTYLE"/>
        <w:numPr>
          <w:ilvl w:val="0"/>
          <w:numId w:val="0"/>
        </w:numPr>
        <w:spacing w:line="240" w:lineRule="auto"/>
        <w:ind w:left="1440"/>
        <w:jc w:val="both"/>
      </w:pPr>
    </w:p>
    <w:p w14:paraId="23046F4D" w14:textId="59A5B6BE" w:rsidR="006667B2" w:rsidRPr="00820E70" w:rsidRDefault="006667B2" w:rsidP="00AE17BC">
      <w:pPr>
        <w:pStyle w:val="CDBGBULLETSTYLE"/>
        <w:spacing w:line="240" w:lineRule="auto"/>
        <w:ind w:left="720"/>
        <w:jc w:val="both"/>
      </w:pPr>
      <w:r w:rsidRPr="006C1C0F">
        <w:rPr>
          <w:b/>
          <w:bCs/>
        </w:rPr>
        <w:t xml:space="preserve">Wetland </w:t>
      </w:r>
      <w:r>
        <w:rPr>
          <w:b/>
          <w:bCs/>
        </w:rPr>
        <w:t>E</w:t>
      </w:r>
      <w:r w:rsidRPr="006C1C0F">
        <w:rPr>
          <w:b/>
          <w:bCs/>
        </w:rPr>
        <w:t>valuation</w:t>
      </w:r>
      <w:r>
        <w:rPr>
          <w:b/>
          <w:bCs/>
        </w:rPr>
        <w:t xml:space="preserve"> – </w:t>
      </w:r>
      <w:r w:rsidRPr="00820E70">
        <w:t>In accordance with Section 5 of Executive Order 11990, the decision</w:t>
      </w:r>
      <w:r>
        <w:t>-</w:t>
      </w:r>
      <w:r w:rsidRPr="00820E70">
        <w:t>maker shall consider factors relevant to a proposal's effect on the survival and quality of the wetland. Among these factors that should be evaluated are</w:t>
      </w:r>
      <w:r w:rsidR="00D53013">
        <w:t>:</w:t>
      </w:r>
    </w:p>
    <w:p w14:paraId="7C2EB0BD" w14:textId="413DD829" w:rsidR="006667B2" w:rsidRPr="00820E70" w:rsidRDefault="00065638" w:rsidP="00AE17BC">
      <w:pPr>
        <w:pStyle w:val="CDBGBULLETSTYLE"/>
        <w:numPr>
          <w:ilvl w:val="1"/>
          <w:numId w:val="8"/>
        </w:numPr>
        <w:spacing w:line="240" w:lineRule="auto"/>
        <w:ind w:left="1080"/>
        <w:jc w:val="both"/>
      </w:pPr>
      <w:r>
        <w:t>P</w:t>
      </w:r>
      <w:r w:rsidR="006667B2" w:rsidRPr="00820E70">
        <w:t xml:space="preserve">ublic health, safety, and welfare, including water supply, quality, recharge, and discharge; pollution; flood and storm hazards and hazard protection; and sediment and </w:t>
      </w:r>
      <w:proofErr w:type="gramStart"/>
      <w:r w:rsidR="006667B2" w:rsidRPr="00820E70">
        <w:t>erosion;</w:t>
      </w:r>
      <w:proofErr w:type="gramEnd"/>
    </w:p>
    <w:p w14:paraId="263F45B6" w14:textId="7C9A7DB3" w:rsidR="006667B2" w:rsidRPr="00820E70" w:rsidRDefault="00065638" w:rsidP="00AE17BC">
      <w:pPr>
        <w:pStyle w:val="CDBGBULLETSTYLE"/>
        <w:numPr>
          <w:ilvl w:val="1"/>
          <w:numId w:val="8"/>
        </w:numPr>
        <w:spacing w:line="240" w:lineRule="auto"/>
        <w:ind w:left="1080"/>
        <w:jc w:val="both"/>
      </w:pPr>
      <w:r>
        <w:t>M</w:t>
      </w:r>
      <w:r w:rsidR="006667B2" w:rsidRPr="00820E70">
        <w:t xml:space="preserve">aintenance of natural systems, including conservation and long-term productivity of existing flora and fauna; species and habitat diversity and stability; natural hydrologic function; wetland type; fish; wildlife; timber; and food and fiber </w:t>
      </w:r>
      <w:proofErr w:type="gramStart"/>
      <w:r w:rsidR="006667B2" w:rsidRPr="00820E70">
        <w:t>resources;</w:t>
      </w:r>
      <w:proofErr w:type="gramEnd"/>
    </w:p>
    <w:p w14:paraId="6462251E" w14:textId="4DD52FF1" w:rsidR="006667B2" w:rsidRPr="00820E70" w:rsidRDefault="00065638" w:rsidP="00AE17BC">
      <w:pPr>
        <w:pStyle w:val="CDBGBULLETSTYLE"/>
        <w:numPr>
          <w:ilvl w:val="1"/>
          <w:numId w:val="8"/>
        </w:numPr>
        <w:spacing w:line="240" w:lineRule="auto"/>
        <w:ind w:left="1080"/>
        <w:jc w:val="both"/>
      </w:pPr>
      <w:r>
        <w:t>C</w:t>
      </w:r>
      <w:r w:rsidR="006667B2" w:rsidRPr="00820E70">
        <w:t>ost increases attributed to wetland-required new construction and mitigation measures to minimize harm to wetlands that may result from such use; and</w:t>
      </w:r>
    </w:p>
    <w:p w14:paraId="2436CD1C" w14:textId="069D0A65" w:rsidR="006667B2" w:rsidRPr="00CD25DF" w:rsidRDefault="00065638" w:rsidP="00AE17BC">
      <w:pPr>
        <w:pStyle w:val="CDBGBULLETSTYLE"/>
        <w:numPr>
          <w:ilvl w:val="1"/>
          <w:numId w:val="8"/>
        </w:numPr>
        <w:spacing w:line="240" w:lineRule="auto"/>
        <w:ind w:left="1080"/>
        <w:jc w:val="both"/>
      </w:pPr>
      <w:r>
        <w:t>O</w:t>
      </w:r>
      <w:r w:rsidR="006667B2" w:rsidRPr="00820E70">
        <w:t>ther uses of wetlands in the public interest</w:t>
      </w:r>
      <w:r w:rsidR="006667B2">
        <w:t xml:space="preserve"> </w:t>
      </w:r>
      <w:r w:rsidR="006667B2" w:rsidRPr="00820E70">
        <w:t>including</w:t>
      </w:r>
      <w:r w:rsidR="006667B2">
        <w:t xml:space="preserve">, but not limited to, </w:t>
      </w:r>
      <w:r w:rsidR="006667B2" w:rsidRPr="00820E70">
        <w:t>recreational, scientific, and cultural uses.</w:t>
      </w:r>
    </w:p>
    <w:p w14:paraId="65678383" w14:textId="77777777" w:rsidR="006667B2" w:rsidRDefault="006667B2" w:rsidP="00AE17BC">
      <w:pPr>
        <w:pStyle w:val="CDBGArial11BoldUnderlined"/>
        <w:spacing w:line="240" w:lineRule="auto"/>
        <w:ind w:left="540"/>
        <w:rPr>
          <w:u w:val="none"/>
        </w:rPr>
      </w:pPr>
    </w:p>
    <w:p w14:paraId="4F2D1859" w14:textId="77777777" w:rsidR="006667B2" w:rsidRPr="005626E7" w:rsidRDefault="006667B2" w:rsidP="00AE17BC">
      <w:pPr>
        <w:pStyle w:val="CDBGArial11BoldUnderlined"/>
        <w:spacing w:line="240" w:lineRule="auto"/>
        <w:rPr>
          <w:u w:val="none"/>
        </w:rPr>
      </w:pPr>
      <w:r w:rsidRPr="005626E7">
        <w:rPr>
          <w:u w:val="none"/>
        </w:rPr>
        <w:t>Step 5</w:t>
      </w:r>
      <w:r>
        <w:rPr>
          <w:u w:val="none"/>
        </w:rPr>
        <w:t xml:space="preserve">. Floodplain/Wetlands </w:t>
      </w:r>
    </w:p>
    <w:p w14:paraId="100BED6B" w14:textId="77777777" w:rsidR="006667B2" w:rsidRPr="000F7C8C" w:rsidRDefault="006667B2" w:rsidP="00AE17BC">
      <w:pPr>
        <w:pStyle w:val="1CDGBbodyArial11"/>
        <w:spacing w:line="240" w:lineRule="auto"/>
      </w:pPr>
      <w:r w:rsidRPr="000F7C8C">
        <w:t>Where practicable, design or modify the proposed action to minimize the potential adverse impacts to and from the 100-year floodplain (or the 500-year floodplain for a Critical Action) or the wetland and to restore and preserve its natural and beneficial functions and values.</w:t>
      </w:r>
    </w:p>
    <w:p w14:paraId="349FE89B" w14:textId="7DA452FC" w:rsidR="006667B2" w:rsidRDefault="006667B2" w:rsidP="00AE17BC">
      <w:pPr>
        <w:pStyle w:val="CDBGBULLETSTYLE"/>
        <w:spacing w:line="240" w:lineRule="auto"/>
        <w:ind w:left="720"/>
        <w:jc w:val="both"/>
      </w:pPr>
      <w:r w:rsidRPr="00820E70">
        <w:t>Minimization techniques for floodplain and wetland purposes include</w:t>
      </w:r>
      <w:r>
        <w:t xml:space="preserve"> </w:t>
      </w:r>
      <w:r w:rsidRPr="00820E70">
        <w:t xml:space="preserve">but are not limited </w:t>
      </w:r>
      <w:proofErr w:type="gramStart"/>
      <w:r w:rsidRPr="00820E70">
        <w:t>to:</w:t>
      </w:r>
      <w:proofErr w:type="gramEnd"/>
      <w:r w:rsidRPr="00820E70">
        <w:t xml:space="preserve"> the use of permeable surfaces, natural landscape enhancements that maintain or restore natural hydrology through infiltration, native plant species, bioswales, evapotranspiration, stormwater capture and reuse, green or vegetative roofs with drainage provisions, and Natural Resource Conservation Service conservation easements. Flood-proofing and elevating structures, including freeboard above the required base flood elevations, are also minimization techniques for floodplain purposes.</w:t>
      </w:r>
    </w:p>
    <w:p w14:paraId="75AB47C4" w14:textId="63994747" w:rsidR="006667B2" w:rsidRDefault="006667B2" w:rsidP="00AE17BC">
      <w:pPr>
        <w:pStyle w:val="CDBGBULLETSTYLE"/>
        <w:spacing w:line="240" w:lineRule="auto"/>
        <w:ind w:left="720"/>
        <w:jc w:val="both"/>
      </w:pPr>
      <w:r w:rsidRPr="00820E70">
        <w:t>Appropriate and practicable compensatory mitigation is recommended for unavoidable adverse impacts to more than one</w:t>
      </w:r>
      <w:r>
        <w:t>-</w:t>
      </w:r>
      <w:r w:rsidRPr="00820E70">
        <w:t>acre of wetland. Compensatory mitigation includes</w:t>
      </w:r>
      <w:r>
        <w:t xml:space="preserve"> </w:t>
      </w:r>
      <w:r w:rsidRPr="00820E70">
        <w:t xml:space="preserve">but is not limited </w:t>
      </w:r>
      <w:proofErr w:type="gramStart"/>
      <w:r w:rsidRPr="00820E70">
        <w:t>to:</w:t>
      </w:r>
      <w:proofErr w:type="gramEnd"/>
      <w:r w:rsidRPr="00820E70">
        <w:t xml:space="preserve"> permi</w:t>
      </w:r>
      <w:r w:rsidR="00FF13FB">
        <w:t>t</w:t>
      </w:r>
      <w:r w:rsidRPr="00820E70">
        <w:t xml:space="preserve">tee-responsible mitigation, mitigation banking, in-lieu fee mitigation, the use of preservation easements or protective covenants, and any form of mitigation promoted by state or </w:t>
      </w:r>
      <w:r>
        <w:t>f</w:t>
      </w:r>
      <w:r w:rsidRPr="00820E70">
        <w:t>ederal agencies. The use of compensatory mitigation may not substitute for the requirement to avoid and minimize impacts to the maximum extent practicable.</w:t>
      </w:r>
    </w:p>
    <w:p w14:paraId="46ED12A7" w14:textId="77777777" w:rsidR="006667B2" w:rsidRPr="00820E70" w:rsidRDefault="006667B2" w:rsidP="00AE17BC">
      <w:pPr>
        <w:pStyle w:val="CDBGBULLETSTYLE"/>
        <w:spacing w:line="240" w:lineRule="auto"/>
        <w:ind w:left="720"/>
        <w:jc w:val="both"/>
      </w:pPr>
      <w:r w:rsidRPr="00820E70">
        <w:t xml:space="preserve">Actions covered by </w:t>
      </w:r>
      <w:r>
        <w:t xml:space="preserve">24 CFR </w:t>
      </w:r>
      <w:r w:rsidRPr="00820E70">
        <w:t>§</w:t>
      </w:r>
      <w:r>
        <w:t>5</w:t>
      </w:r>
      <w:r w:rsidRPr="00820E70">
        <w:t>5.12(a) must be rejected if the proposed minimization is financially or physically unworkable. All critical actions in the 500-year floodplain shall be designed and built at or above the 100-year floodplain (in the case of new construction) and modified to include</w:t>
      </w:r>
    </w:p>
    <w:p w14:paraId="0FF1729A" w14:textId="3BF414DC" w:rsidR="006667B2" w:rsidRPr="00820E70" w:rsidRDefault="00065638" w:rsidP="00AE17BC">
      <w:pPr>
        <w:pStyle w:val="CDBGBULLETSTYLE"/>
        <w:numPr>
          <w:ilvl w:val="1"/>
          <w:numId w:val="8"/>
        </w:numPr>
        <w:spacing w:line="240" w:lineRule="auto"/>
        <w:ind w:left="1080"/>
        <w:jc w:val="both"/>
      </w:pPr>
      <w:r>
        <w:t>P</w:t>
      </w:r>
      <w:r w:rsidR="006667B2" w:rsidRPr="00820E70">
        <w:t xml:space="preserve">reparation of and participation in an early warning </w:t>
      </w:r>
      <w:proofErr w:type="gramStart"/>
      <w:r w:rsidR="006667B2" w:rsidRPr="00820E70">
        <w:t>system;</w:t>
      </w:r>
      <w:proofErr w:type="gramEnd"/>
    </w:p>
    <w:p w14:paraId="3CC640EF" w14:textId="1DD11889" w:rsidR="006667B2" w:rsidRPr="00820E70" w:rsidRDefault="00065638" w:rsidP="00AE17BC">
      <w:pPr>
        <w:pStyle w:val="CDBGBULLETSTYLE"/>
        <w:numPr>
          <w:ilvl w:val="1"/>
          <w:numId w:val="8"/>
        </w:numPr>
        <w:spacing w:line="240" w:lineRule="auto"/>
        <w:ind w:left="1080"/>
        <w:jc w:val="both"/>
      </w:pPr>
      <w:r>
        <w:t>A</w:t>
      </w:r>
      <w:r w:rsidR="006667B2" w:rsidRPr="00820E70">
        <w:t xml:space="preserve">n emergency evacuation and relocation </w:t>
      </w:r>
      <w:proofErr w:type="gramStart"/>
      <w:r w:rsidR="006667B2" w:rsidRPr="00820E70">
        <w:t>plan;</w:t>
      </w:r>
      <w:proofErr w:type="gramEnd"/>
    </w:p>
    <w:p w14:paraId="1CB5D323" w14:textId="79A706B9" w:rsidR="006667B2" w:rsidRPr="00820E70" w:rsidRDefault="00065638" w:rsidP="00AE17BC">
      <w:pPr>
        <w:pStyle w:val="CDBGBULLETSTYLE"/>
        <w:numPr>
          <w:ilvl w:val="1"/>
          <w:numId w:val="8"/>
        </w:numPr>
        <w:spacing w:line="240" w:lineRule="auto"/>
        <w:ind w:left="1080"/>
        <w:jc w:val="both"/>
      </w:pPr>
      <w:r>
        <w:t>I</w:t>
      </w:r>
      <w:r w:rsidR="006667B2" w:rsidRPr="00820E70">
        <w:t>dentification of evacuation route(s) out of the 500-year floodplain; and</w:t>
      </w:r>
    </w:p>
    <w:p w14:paraId="0671B60B" w14:textId="17B9E7F0" w:rsidR="006667B2" w:rsidRDefault="00065638" w:rsidP="00AE17BC">
      <w:pPr>
        <w:pStyle w:val="CDBGBULLETSTYLE"/>
        <w:numPr>
          <w:ilvl w:val="1"/>
          <w:numId w:val="8"/>
        </w:numPr>
        <w:spacing w:line="240" w:lineRule="auto"/>
        <w:ind w:left="1080"/>
        <w:jc w:val="both"/>
      </w:pPr>
      <w:r>
        <w:t>I</w:t>
      </w:r>
      <w:r w:rsidR="006667B2" w:rsidRPr="00820E70">
        <w:t>dentification marks of past or estimated flood levels on all structures.</w:t>
      </w:r>
    </w:p>
    <w:p w14:paraId="53616CAE" w14:textId="77777777" w:rsidR="006667B2" w:rsidRPr="00820E70" w:rsidRDefault="006667B2" w:rsidP="00AE17BC">
      <w:pPr>
        <w:pStyle w:val="CDBGBULLETSTYLE"/>
        <w:numPr>
          <w:ilvl w:val="0"/>
          <w:numId w:val="0"/>
        </w:numPr>
        <w:spacing w:line="240" w:lineRule="auto"/>
        <w:ind w:left="1440"/>
        <w:jc w:val="both"/>
      </w:pPr>
    </w:p>
    <w:p w14:paraId="5B934140" w14:textId="77777777" w:rsidR="006667B2" w:rsidRPr="00B25786" w:rsidRDefault="006667B2" w:rsidP="00AE17BC">
      <w:pPr>
        <w:pStyle w:val="CDBGArial11BoldUnderlined"/>
        <w:spacing w:line="240" w:lineRule="auto"/>
        <w:rPr>
          <w:u w:val="none"/>
        </w:rPr>
      </w:pPr>
      <w:r w:rsidRPr="00B25786">
        <w:rPr>
          <w:u w:val="none"/>
        </w:rPr>
        <w:t>Step 6</w:t>
      </w:r>
      <w:r>
        <w:rPr>
          <w:u w:val="none"/>
        </w:rPr>
        <w:t xml:space="preserve">. Floodplain/Wetlands </w:t>
      </w:r>
    </w:p>
    <w:p w14:paraId="3B3B1F9F" w14:textId="77777777" w:rsidR="006667B2" w:rsidRDefault="006667B2" w:rsidP="00AE17BC">
      <w:pPr>
        <w:pStyle w:val="1CDGBbodyArial11"/>
        <w:spacing w:line="240" w:lineRule="auto"/>
        <w:rPr>
          <w:b/>
          <w:u w:val="single"/>
        </w:rPr>
      </w:pPr>
      <w:r w:rsidRPr="00820E70">
        <w:t>Reevaluate the proposed action to determine</w:t>
      </w:r>
    </w:p>
    <w:p w14:paraId="6638FBC3" w14:textId="5203980F" w:rsidR="006667B2" w:rsidRPr="00854100" w:rsidRDefault="00065638" w:rsidP="00AE17BC">
      <w:pPr>
        <w:numPr>
          <w:ilvl w:val="0"/>
          <w:numId w:val="26"/>
        </w:numPr>
        <w:shd w:val="clear" w:color="auto" w:fill="FFFFFF"/>
        <w:rPr>
          <w:rFonts w:cs="Arial"/>
          <w:b/>
          <w:szCs w:val="22"/>
          <w:u w:val="single"/>
        </w:rPr>
      </w:pPr>
      <w:r>
        <w:rPr>
          <w:rFonts w:cs="Arial"/>
          <w:szCs w:val="22"/>
        </w:rPr>
        <w:t>W</w:t>
      </w:r>
      <w:r w:rsidR="006667B2" w:rsidRPr="00820E70">
        <w:rPr>
          <w:rFonts w:cs="Arial"/>
          <w:szCs w:val="22"/>
        </w:rPr>
        <w:t>hether t</w:t>
      </w:r>
      <w:r w:rsidR="006667B2">
        <w:rPr>
          <w:rFonts w:cs="Arial"/>
          <w:szCs w:val="22"/>
        </w:rPr>
        <w:t>h</w:t>
      </w:r>
      <w:r w:rsidR="006667B2" w:rsidRPr="00820E70">
        <w:rPr>
          <w:rFonts w:cs="Arial"/>
          <w:szCs w:val="22"/>
        </w:rPr>
        <w:t xml:space="preserve">e action is still practicable </w:t>
      </w:r>
      <w:proofErr w:type="gramStart"/>
      <w:r w:rsidR="006667B2" w:rsidRPr="00820E70">
        <w:rPr>
          <w:rFonts w:cs="Arial"/>
          <w:szCs w:val="22"/>
        </w:rPr>
        <w:t>in light of</w:t>
      </w:r>
      <w:proofErr w:type="gramEnd"/>
      <w:r w:rsidR="006667B2" w:rsidRPr="00820E70">
        <w:rPr>
          <w:rFonts w:cs="Arial"/>
          <w:szCs w:val="22"/>
        </w:rPr>
        <w:t xml:space="preserve"> exposure to flood hazards in the floodplain or wetland, possible adverse impacts on the floodplain or wetland, the extent to which it will aggravate the current hazards to other floodplains or wetlands, and the potential to disrupt the natural and beneficial functions and values of floodplains or wetlands; and</w:t>
      </w:r>
    </w:p>
    <w:p w14:paraId="331F6259" w14:textId="6EED684A" w:rsidR="006667B2" w:rsidRPr="00820E70" w:rsidRDefault="00065638" w:rsidP="00AE17BC">
      <w:pPr>
        <w:numPr>
          <w:ilvl w:val="0"/>
          <w:numId w:val="26"/>
        </w:numPr>
        <w:shd w:val="clear" w:color="auto" w:fill="FFFFFF"/>
        <w:rPr>
          <w:rFonts w:cs="Arial"/>
          <w:szCs w:val="22"/>
        </w:rPr>
      </w:pPr>
      <w:r>
        <w:rPr>
          <w:rFonts w:cs="Arial"/>
          <w:szCs w:val="22"/>
        </w:rPr>
        <w:t>W</w:t>
      </w:r>
      <w:r w:rsidR="006667B2" w:rsidRPr="00820E70">
        <w:rPr>
          <w:rFonts w:cs="Arial"/>
          <w:szCs w:val="22"/>
        </w:rPr>
        <w:t>hether alternatives preliminarily rejected at Step 3</w:t>
      </w:r>
      <w:r w:rsidR="006667B2">
        <w:rPr>
          <w:rFonts w:cs="Arial"/>
          <w:szCs w:val="22"/>
        </w:rPr>
        <w:t xml:space="preserve">, </w:t>
      </w:r>
      <w:r w:rsidR="006667B2" w:rsidRPr="00820E70">
        <w:rPr>
          <w:rFonts w:cs="Arial"/>
          <w:szCs w:val="22"/>
        </w:rPr>
        <w:t>paragraph</w:t>
      </w:r>
      <w:r w:rsidR="006667B2">
        <w:rPr>
          <w:rFonts w:cs="Arial"/>
          <w:szCs w:val="22"/>
        </w:rPr>
        <w:t xml:space="preserve"> C</w:t>
      </w:r>
      <w:r w:rsidR="006667B2" w:rsidRPr="00820E70">
        <w:rPr>
          <w:rFonts w:cs="Arial"/>
          <w:szCs w:val="22"/>
        </w:rPr>
        <w:t xml:space="preserve"> of </w:t>
      </w:r>
      <w:bookmarkStart w:id="35" w:name="_Hlk90301336"/>
      <w:r w:rsidR="006667B2">
        <w:rPr>
          <w:rFonts w:cs="Arial"/>
          <w:szCs w:val="22"/>
        </w:rPr>
        <w:t xml:space="preserve">24 CFR </w:t>
      </w:r>
      <w:r w:rsidR="006667B2" w:rsidRPr="00820E70">
        <w:t>§</w:t>
      </w:r>
      <w:r w:rsidR="006667B2">
        <w:t>5</w:t>
      </w:r>
      <w:r w:rsidR="006667B2" w:rsidRPr="00820E70">
        <w:t>5.</w:t>
      </w:r>
      <w:r w:rsidR="006667B2">
        <w:t>20</w:t>
      </w:r>
      <w:bookmarkEnd w:id="35"/>
      <w:r w:rsidR="006667B2" w:rsidRPr="00820E70">
        <w:rPr>
          <w:rFonts w:cs="Arial"/>
          <w:szCs w:val="22"/>
        </w:rPr>
        <w:t xml:space="preserve"> are practicable </w:t>
      </w:r>
      <w:proofErr w:type="gramStart"/>
      <w:r w:rsidR="006667B2" w:rsidRPr="00820E70">
        <w:rPr>
          <w:rFonts w:cs="Arial"/>
          <w:szCs w:val="22"/>
        </w:rPr>
        <w:t>in light of</w:t>
      </w:r>
      <w:proofErr w:type="gramEnd"/>
      <w:r w:rsidR="006667B2" w:rsidRPr="00820E70">
        <w:rPr>
          <w:rFonts w:cs="Arial"/>
          <w:szCs w:val="22"/>
        </w:rPr>
        <w:t xml:space="preserve"> information gained in Steps 4 and 5</w:t>
      </w:r>
      <w:r w:rsidR="006667B2">
        <w:rPr>
          <w:rFonts w:cs="Arial"/>
          <w:szCs w:val="22"/>
        </w:rPr>
        <w:t>, p</w:t>
      </w:r>
      <w:r w:rsidR="006667B2" w:rsidRPr="00820E70">
        <w:rPr>
          <w:rFonts w:cs="Arial"/>
          <w:szCs w:val="22"/>
        </w:rPr>
        <w:t>aragraphs</w:t>
      </w:r>
      <w:r w:rsidR="006667B2">
        <w:rPr>
          <w:rFonts w:cs="Arial"/>
          <w:szCs w:val="22"/>
        </w:rPr>
        <w:t xml:space="preserve"> D and E,</w:t>
      </w:r>
      <w:r w:rsidR="006667B2" w:rsidRPr="00820E70">
        <w:rPr>
          <w:rFonts w:cs="Arial"/>
          <w:szCs w:val="22"/>
        </w:rPr>
        <w:t xml:space="preserve"> of this section.</w:t>
      </w:r>
    </w:p>
    <w:p w14:paraId="560CC97F" w14:textId="77777777" w:rsidR="006667B2" w:rsidRPr="00820E70" w:rsidRDefault="006667B2" w:rsidP="00AE17BC">
      <w:pPr>
        <w:numPr>
          <w:ilvl w:val="0"/>
          <w:numId w:val="28"/>
        </w:numPr>
        <w:shd w:val="clear" w:color="auto" w:fill="FFFFFF"/>
        <w:ind w:left="1080"/>
        <w:rPr>
          <w:rFonts w:cs="Arial"/>
          <w:szCs w:val="22"/>
        </w:rPr>
      </w:pPr>
      <w:r w:rsidRPr="00820E70">
        <w:rPr>
          <w:rFonts w:cs="Arial"/>
          <w:szCs w:val="22"/>
        </w:rPr>
        <w:t>The reevaluation of alternatives shall include the potential impacts avoided or caused inside and outside the floodplain or wetland area. The impacts should include the protection of human life, real property, and the natural and beneficial functions and values served by the floodplain or wetland.</w:t>
      </w:r>
    </w:p>
    <w:p w14:paraId="439AECD2" w14:textId="77777777" w:rsidR="006667B2" w:rsidRDefault="006667B2" w:rsidP="00AE17BC">
      <w:pPr>
        <w:numPr>
          <w:ilvl w:val="0"/>
          <w:numId w:val="28"/>
        </w:numPr>
        <w:shd w:val="clear" w:color="auto" w:fill="FFFFFF"/>
        <w:ind w:left="1080"/>
        <w:rPr>
          <w:rFonts w:cs="Arial"/>
          <w:szCs w:val="22"/>
        </w:rPr>
      </w:pPr>
      <w:r w:rsidRPr="00820E70">
        <w:rPr>
          <w:rFonts w:cs="Arial"/>
          <w:szCs w:val="22"/>
        </w:rPr>
        <w:t xml:space="preserve">A reevaluation of alternatives under this step should include a discussion of economic costs. For floodplains, the cost estimates should include savings or the costs of flood insurance, where applicable; flood proofing; replacement of services or functions of critical actions that might be lost; and elevation to at least the base flood elevation for sites located in floodplains, as appropriate on the applicable source under </w:t>
      </w:r>
      <w:r>
        <w:rPr>
          <w:rFonts w:cs="Arial"/>
          <w:szCs w:val="22"/>
        </w:rPr>
        <w:t xml:space="preserve">24 CFR </w:t>
      </w:r>
      <w:r w:rsidRPr="00820E70">
        <w:rPr>
          <w:rFonts w:cs="Arial"/>
          <w:szCs w:val="22"/>
        </w:rPr>
        <w:t>§55.2(b)(1). For wetlands, the cost estimates should include the cost of filling the wetlands and mitigation.</w:t>
      </w:r>
    </w:p>
    <w:p w14:paraId="297C0C68" w14:textId="77777777" w:rsidR="006667B2" w:rsidRPr="00C6016A" w:rsidRDefault="006667B2" w:rsidP="00AE17BC">
      <w:pPr>
        <w:shd w:val="clear" w:color="auto" w:fill="FFFFFF"/>
        <w:ind w:left="1260"/>
        <w:rPr>
          <w:rFonts w:cs="Arial"/>
          <w:szCs w:val="22"/>
        </w:rPr>
      </w:pPr>
    </w:p>
    <w:p w14:paraId="16F4BCA3" w14:textId="77777777" w:rsidR="006667B2" w:rsidRPr="00B25786" w:rsidRDefault="006667B2" w:rsidP="00AE17BC">
      <w:pPr>
        <w:pStyle w:val="CDBGArial11BoldUnderlined"/>
        <w:spacing w:line="240" w:lineRule="auto"/>
        <w:rPr>
          <w:u w:val="none"/>
        </w:rPr>
      </w:pPr>
      <w:r w:rsidRPr="00B25786">
        <w:rPr>
          <w:u w:val="none"/>
        </w:rPr>
        <w:t>Step 7</w:t>
      </w:r>
      <w:r>
        <w:rPr>
          <w:u w:val="none"/>
        </w:rPr>
        <w:t xml:space="preserve">. Floodplain/Wetlands </w:t>
      </w:r>
    </w:p>
    <w:p w14:paraId="45F57E4C" w14:textId="77777777" w:rsidR="006667B2" w:rsidRDefault="006667B2" w:rsidP="00AE17BC">
      <w:pPr>
        <w:pStyle w:val="1CDGBbodyArial11"/>
        <w:spacing w:line="240" w:lineRule="auto"/>
      </w:pPr>
      <w:r>
        <w:t>I</w:t>
      </w:r>
      <w:r w:rsidRPr="00820E70">
        <w:t xml:space="preserve">f the reevaluation results in a determination that there is no practicable alternative to locating the proposal in the 100-year floodplain (or the 500-year floodplain for a Critical Action) or the wetland, </w:t>
      </w:r>
      <w:r w:rsidRPr="00573F26">
        <w:rPr>
          <w:b/>
          <w:bCs/>
        </w:rPr>
        <w:t>publish</w:t>
      </w:r>
      <w:r w:rsidRPr="00820E70">
        <w:t xml:space="preserve"> a final notice that includes</w:t>
      </w:r>
    </w:p>
    <w:p w14:paraId="75FB1594" w14:textId="24C6CDDB" w:rsidR="006667B2" w:rsidRDefault="00065638" w:rsidP="00AE17BC">
      <w:pPr>
        <w:pStyle w:val="1CDGBbodyArial11"/>
        <w:numPr>
          <w:ilvl w:val="0"/>
          <w:numId w:val="35"/>
        </w:numPr>
        <w:spacing w:line="240" w:lineRule="auto"/>
      </w:pPr>
      <w:r>
        <w:t>T</w:t>
      </w:r>
      <w:r w:rsidR="006667B2" w:rsidRPr="00FC1408">
        <w:t xml:space="preserve">he reasons why the proposal must be located in the floodplain or </w:t>
      </w:r>
      <w:proofErr w:type="gramStart"/>
      <w:r w:rsidR="006667B2" w:rsidRPr="00FC1408">
        <w:t>wetland;</w:t>
      </w:r>
      <w:proofErr w:type="gramEnd"/>
    </w:p>
    <w:p w14:paraId="3C77C527" w14:textId="79D3FE7B" w:rsidR="006667B2" w:rsidRDefault="00065638" w:rsidP="00AE17BC">
      <w:pPr>
        <w:pStyle w:val="CDBGBULLETSTYLE"/>
        <w:numPr>
          <w:ilvl w:val="0"/>
          <w:numId w:val="35"/>
        </w:numPr>
        <w:spacing w:line="240" w:lineRule="auto"/>
        <w:jc w:val="both"/>
      </w:pPr>
      <w:r>
        <w:t>A</w:t>
      </w:r>
      <w:r w:rsidR="006667B2" w:rsidRPr="00820E70">
        <w:t xml:space="preserve"> list of the alternatives considered in accordance with paragraphs(c)(1) and (c)(2) of </w:t>
      </w:r>
      <w:r w:rsidR="006667B2">
        <w:t xml:space="preserve">24 CFR </w:t>
      </w:r>
      <w:r w:rsidR="006667B2" w:rsidRPr="00820E70">
        <w:t>§</w:t>
      </w:r>
      <w:r w:rsidR="006667B2">
        <w:t>5</w:t>
      </w:r>
      <w:r w:rsidR="006667B2" w:rsidRPr="00820E70">
        <w:t>5.</w:t>
      </w:r>
      <w:r w:rsidR="006667B2">
        <w:t>20</w:t>
      </w:r>
      <w:r w:rsidR="006667B2" w:rsidRPr="00820E70">
        <w:t>; and</w:t>
      </w:r>
    </w:p>
    <w:p w14:paraId="59D342B5" w14:textId="54D6B02A" w:rsidR="006667B2" w:rsidRPr="00820E70" w:rsidRDefault="00065638" w:rsidP="00AE17BC">
      <w:pPr>
        <w:pStyle w:val="CDBGBULLETSTYLE"/>
        <w:numPr>
          <w:ilvl w:val="0"/>
          <w:numId w:val="35"/>
        </w:numPr>
        <w:spacing w:line="240" w:lineRule="auto"/>
        <w:jc w:val="both"/>
      </w:pPr>
      <w:r>
        <w:t>A</w:t>
      </w:r>
      <w:r w:rsidR="006667B2" w:rsidRPr="00820E70">
        <w:t xml:space="preserve">ll mitigation measures </w:t>
      </w:r>
      <w:proofErr w:type="gramStart"/>
      <w:r w:rsidR="006667B2" w:rsidRPr="00820E70">
        <w:t>to</w:t>
      </w:r>
      <w:proofErr w:type="gramEnd"/>
      <w:r w:rsidR="006667B2" w:rsidRPr="00820E70">
        <w:t xml:space="preserve"> be taken to minimize adverse impacts and to restore and preserve natural and beneficial functions and values.</w:t>
      </w:r>
    </w:p>
    <w:p w14:paraId="18B2F5EB" w14:textId="77777777" w:rsidR="006667B2" w:rsidRPr="00820E70" w:rsidRDefault="006667B2" w:rsidP="00AE17BC">
      <w:pPr>
        <w:pStyle w:val="1CDGBbodyArial11"/>
        <w:spacing w:line="240" w:lineRule="auto"/>
      </w:pPr>
      <w:r w:rsidRPr="00573F26">
        <w:t xml:space="preserve">In addition, the public notice procedures of </w:t>
      </w:r>
      <w:r>
        <w:t xml:space="preserve">24 CFR </w:t>
      </w:r>
      <w:r w:rsidRPr="00573F26">
        <w:t>§55.20(b)(1) shall be followed, and a minimum of seven calendar days for public comment before approval of the proposed action shall be provided.</w:t>
      </w:r>
    </w:p>
    <w:p w14:paraId="2490FBE2" w14:textId="77777777" w:rsidR="006667B2" w:rsidRDefault="006667B2" w:rsidP="00AE17BC">
      <w:pPr>
        <w:pStyle w:val="1CDGBbodyArial11"/>
        <w:spacing w:line="240" w:lineRule="auto"/>
      </w:pPr>
    </w:p>
    <w:p w14:paraId="691BD9D3" w14:textId="77777777" w:rsidR="006667B2" w:rsidRPr="002655B0" w:rsidRDefault="006667B2" w:rsidP="00AE17BC">
      <w:pPr>
        <w:rPr>
          <w:bCs/>
        </w:rPr>
      </w:pPr>
      <w:r w:rsidRPr="00147DB2">
        <w:rPr>
          <w:b/>
          <w:bCs/>
        </w:rPr>
        <w:t xml:space="preserve">Step 8. Floodplain/Wetlands </w:t>
      </w:r>
    </w:p>
    <w:p w14:paraId="6C8073DA" w14:textId="77777777" w:rsidR="006667B2" w:rsidRDefault="006667B2" w:rsidP="00AE17BC">
      <w:pPr>
        <w:pStyle w:val="1CDGBbodyArial11"/>
        <w:spacing w:line="240" w:lineRule="auto"/>
      </w:pPr>
      <w:r w:rsidRPr="00573F26">
        <w:t>Upon completion of the decision</w:t>
      </w:r>
      <w:r>
        <w:t>-</w:t>
      </w:r>
      <w:r w:rsidRPr="00573F26">
        <w:t xml:space="preserve">making process in Steps 1 through 7, </w:t>
      </w:r>
      <w:r>
        <w:t>proceed with the Environmental Review and other actions to</w:t>
      </w:r>
      <w:r w:rsidRPr="00573F26">
        <w:t xml:space="preserve"> implement the proposed action. There is a continuing responsibility on </w:t>
      </w:r>
      <w:r>
        <w:t>the Grant Recipient</w:t>
      </w:r>
      <w:r w:rsidRPr="00573F26">
        <w:t xml:space="preserve"> to ensure that the mitigating measures identified in Step 7 are implemented.</w:t>
      </w:r>
    </w:p>
    <w:p w14:paraId="16E96A3C" w14:textId="77777777" w:rsidR="006667B2" w:rsidRPr="00573F26" w:rsidRDefault="006667B2" w:rsidP="00AE17BC">
      <w:pPr>
        <w:pStyle w:val="CDBGBODYSTYLE"/>
        <w:spacing w:line="240" w:lineRule="auto"/>
        <w:ind w:left="450"/>
      </w:pPr>
    </w:p>
    <w:p w14:paraId="139D32FA" w14:textId="68B2B136" w:rsidR="006667B2" w:rsidRDefault="006667B2" w:rsidP="001F52AB">
      <w:pPr>
        <w:pStyle w:val="Heading7"/>
      </w:pPr>
      <w:bookmarkStart w:id="36" w:name="_Toc171783650"/>
      <w:r w:rsidRPr="00147DB2">
        <w:t>Tiered Review</w:t>
      </w:r>
      <w:bookmarkEnd w:id="36"/>
      <w:r w:rsidR="002D2D8A">
        <w:t xml:space="preserve"> </w:t>
      </w:r>
    </w:p>
    <w:p w14:paraId="66CF4395" w14:textId="77777777" w:rsidR="002D2D8A" w:rsidRPr="00DA0BFE" w:rsidRDefault="002D2D8A" w:rsidP="00AE17BC">
      <w:pPr>
        <w:rPr>
          <w:bCs/>
        </w:rPr>
      </w:pPr>
    </w:p>
    <w:p w14:paraId="3CCE0B7E" w14:textId="7ED3797B" w:rsidR="002A23E0" w:rsidRPr="007E5785" w:rsidRDefault="002D2D8A" w:rsidP="00AE17BC">
      <w:pPr>
        <w:pStyle w:val="CDBGBODYSTYLE"/>
        <w:spacing w:line="240" w:lineRule="auto"/>
      </w:pPr>
      <w:r w:rsidRPr="00DA0BFE">
        <w:rPr>
          <w:shd w:val="clear" w:color="auto" w:fill="FFFFFF"/>
        </w:rPr>
        <w:t xml:space="preserve">A Tiered Review may be appropriate when the </w:t>
      </w:r>
      <w:r w:rsidR="003404D5" w:rsidRPr="00DA0BFE">
        <w:rPr>
          <w:shd w:val="clear" w:color="auto" w:fill="FFFFFF"/>
        </w:rPr>
        <w:t>Grant Recipient</w:t>
      </w:r>
      <w:r w:rsidRPr="00DA0BFE">
        <w:rPr>
          <w:shd w:val="clear" w:color="auto" w:fill="FFFFFF"/>
        </w:rPr>
        <w:t xml:space="preserve"> is evaluating a collection of projects that would fund the same or very similar activities repeatedly within a defined local geographic area and timeframe</w:t>
      </w:r>
      <w:r w:rsidR="00A752AF" w:rsidRPr="00DA0BFE">
        <w:rPr>
          <w:shd w:val="clear" w:color="auto" w:fill="FFFFFF"/>
        </w:rPr>
        <w:t>,</w:t>
      </w:r>
      <w:r w:rsidRPr="00DA0BFE">
        <w:rPr>
          <w:shd w:val="clear" w:color="auto" w:fill="FFFFFF"/>
        </w:rPr>
        <w:t xml:space="preserve"> but where the specific sites and activities are </w:t>
      </w:r>
      <w:r w:rsidRPr="007E5785">
        <w:rPr>
          <w:shd w:val="clear" w:color="auto" w:fill="FFFFFF"/>
        </w:rPr>
        <w:t>not yet known.</w:t>
      </w:r>
      <w:r w:rsidR="00C6353B" w:rsidRPr="007E5785">
        <w:t xml:space="preserve">, </w:t>
      </w:r>
    </w:p>
    <w:p w14:paraId="5F028F16" w14:textId="11E85B6C" w:rsidR="00147DB2" w:rsidRPr="007E5785" w:rsidRDefault="002A23E0" w:rsidP="00AE17BC">
      <w:pPr>
        <w:pStyle w:val="CDBGBODYSTYLE"/>
        <w:spacing w:line="240" w:lineRule="auto"/>
      </w:pPr>
      <w:r w:rsidRPr="007E5785">
        <w:rPr>
          <w:b/>
          <w:bCs/>
        </w:rPr>
        <w:t>EXAMPLE:</w:t>
      </w:r>
      <w:r w:rsidRPr="007E5785">
        <w:t xml:space="preserve"> A</w:t>
      </w:r>
      <w:r w:rsidR="00C6353B" w:rsidRPr="007E5785">
        <w:t xml:space="preserve"> first</w:t>
      </w:r>
      <w:r w:rsidR="003503DF" w:rsidRPr="007E5785">
        <w:t>-</w:t>
      </w:r>
      <w:r w:rsidR="00C6353B" w:rsidRPr="007E5785">
        <w:t>time water/sewer connection project that spans a larger geographical area for which qualifying households have not yet been selected.</w:t>
      </w:r>
    </w:p>
    <w:p w14:paraId="0B29CAE0" w14:textId="77777777" w:rsidR="00147DB2" w:rsidRDefault="00147DB2" w:rsidP="00AE17BC">
      <w:pPr>
        <w:pStyle w:val="CDBGBODYSTYLE"/>
        <w:spacing w:line="240" w:lineRule="auto"/>
      </w:pPr>
    </w:p>
    <w:p w14:paraId="72A1B6FF" w14:textId="2F6685DA" w:rsidR="00025C84" w:rsidRDefault="006667B2" w:rsidP="00AE17BC">
      <w:pPr>
        <w:pStyle w:val="CDBGBODYSTYLE"/>
        <w:spacing w:line="240" w:lineRule="auto"/>
      </w:pPr>
      <w:r w:rsidRPr="00072778">
        <w:t>For t</w:t>
      </w:r>
      <w:r w:rsidRPr="006B6FCD">
        <w:t xml:space="preserve">he </w:t>
      </w:r>
      <w:proofErr w:type="gramStart"/>
      <w:r w:rsidRPr="006B6FCD">
        <w:t>project as a whole, complete</w:t>
      </w:r>
      <w:proofErr w:type="gramEnd"/>
      <w:r w:rsidRPr="006B6FCD">
        <w:t xml:space="preserve"> a Broad-Level Tiered Environmental Review using the format provided on the HUD website.</w:t>
      </w:r>
      <w:r w:rsidR="00025C84">
        <w:rPr>
          <w:rStyle w:val="FootnoteReference"/>
        </w:rPr>
        <w:footnoteReference w:id="12"/>
      </w:r>
      <w:r>
        <w:t xml:space="preserve"> </w:t>
      </w:r>
      <w:r w:rsidRPr="006B6FCD">
        <w:t xml:space="preserve">This review will identify which review requirements must be addressed site-by-site. For each specific site, document compliance with the review requirements identified in the Broad-Level Tiered Environmental Review. </w:t>
      </w:r>
    </w:p>
    <w:p w14:paraId="46F5A938" w14:textId="77777777" w:rsidR="00025C84" w:rsidRDefault="00025C84" w:rsidP="00AE17BC">
      <w:pPr>
        <w:pStyle w:val="CDBGBODYSTYLE"/>
        <w:spacing w:line="240" w:lineRule="auto"/>
      </w:pPr>
    </w:p>
    <w:p w14:paraId="313CD546" w14:textId="4683ABC7" w:rsidR="006667B2" w:rsidRPr="00055507" w:rsidRDefault="00072778" w:rsidP="00AE17BC">
      <w:pPr>
        <w:pStyle w:val="CDBGBODYSTYLE"/>
        <w:spacing w:line="240" w:lineRule="auto"/>
      </w:pPr>
      <w:r w:rsidRPr="00066C51">
        <w:t>The Grant Recipient may request a Release of Funds based on the Broad-Level review; however, the Site-Specific review must be completed prior to obligating funds for each site.</w:t>
      </w:r>
    </w:p>
    <w:p w14:paraId="6488F75E" w14:textId="77777777" w:rsidR="006667B2" w:rsidRPr="002D2D8A" w:rsidRDefault="006667B2" w:rsidP="00AE17BC">
      <w:pPr>
        <w:rPr>
          <w:rFonts w:cs="Arial"/>
          <w:b/>
          <w:szCs w:val="22"/>
        </w:rPr>
      </w:pPr>
    </w:p>
    <w:p w14:paraId="7586C92E" w14:textId="77777777" w:rsidR="006667B2" w:rsidRPr="002655B0" w:rsidRDefault="006667B2" w:rsidP="00AE17BC">
      <w:pPr>
        <w:rPr>
          <w:bCs/>
        </w:rPr>
      </w:pPr>
      <w:r w:rsidRPr="00147DB2">
        <w:rPr>
          <w:b/>
          <w:bCs/>
        </w:rPr>
        <w:t xml:space="preserve">Environmental Impact Statement </w:t>
      </w:r>
    </w:p>
    <w:p w14:paraId="4EE0E977" w14:textId="77777777" w:rsidR="006667B2" w:rsidRDefault="006667B2" w:rsidP="00AE17BC">
      <w:pPr>
        <w:pStyle w:val="CDBGBODYSTYLE"/>
        <w:spacing w:line="240" w:lineRule="auto"/>
      </w:pPr>
      <w:r w:rsidRPr="0049775B">
        <w:t xml:space="preserve">An Environmental Impact Statement (EIS) is required when the </w:t>
      </w:r>
      <w:r>
        <w:t>Grant Recipient’s</w:t>
      </w:r>
      <w:r w:rsidRPr="0049775B">
        <w:t xml:space="preserve"> </w:t>
      </w:r>
      <w:r w:rsidRPr="008D288B">
        <w:rPr>
          <w:iCs/>
        </w:rPr>
        <w:t>Environmental Assessment results in a Finding of Significant Impact, indicating that its proposed</w:t>
      </w:r>
      <w:r w:rsidRPr="0049775B">
        <w:t xml:space="preserve"> project or activity will significantly impact the human environment. It is unlikely that any TxCDBG-funded activity will trigger an EIS. In the event a </w:t>
      </w:r>
      <w:r>
        <w:t>Grant Recipient</w:t>
      </w:r>
      <w:r w:rsidRPr="0049775B">
        <w:t xml:space="preserve"> finds itself involved with this level of review</w:t>
      </w:r>
      <w:r>
        <w:t xml:space="preserve"> </w:t>
      </w:r>
      <w:r w:rsidRPr="0049775B">
        <w:t xml:space="preserve">the </w:t>
      </w:r>
      <w:r>
        <w:t>Grant Recipient</w:t>
      </w:r>
      <w:r w:rsidRPr="0049775B">
        <w:t xml:space="preserve"> should </w:t>
      </w:r>
      <w:r>
        <w:t xml:space="preserve">immediately </w:t>
      </w:r>
      <w:r w:rsidRPr="0049775B">
        <w:t xml:space="preserve">contact the </w:t>
      </w:r>
      <w:r w:rsidRPr="002062A8">
        <w:rPr>
          <w:spacing w:val="-4"/>
        </w:rPr>
        <w:t xml:space="preserve">TDA Environmental Specialist </w:t>
      </w:r>
      <w:r w:rsidRPr="0049775B">
        <w:t xml:space="preserve">for further instructions. </w:t>
      </w:r>
    </w:p>
    <w:p w14:paraId="25694888" w14:textId="77777777" w:rsidR="006667B2" w:rsidRDefault="006667B2" w:rsidP="00AE17BC">
      <w:pPr>
        <w:pStyle w:val="CDBGBODYSTYLE"/>
        <w:spacing w:line="240" w:lineRule="auto"/>
      </w:pPr>
    </w:p>
    <w:p w14:paraId="6BC530CB" w14:textId="77777777" w:rsidR="00797C31" w:rsidRPr="0049775B" w:rsidRDefault="00797C31" w:rsidP="00AE17BC">
      <w:pPr>
        <w:pStyle w:val="CDBGBODYSTYLE"/>
        <w:spacing w:line="240" w:lineRule="auto"/>
      </w:pPr>
    </w:p>
    <w:p w14:paraId="35AB25D8" w14:textId="77777777" w:rsidR="006667B2" w:rsidRDefault="006667B2" w:rsidP="00BE795B">
      <w:pPr>
        <w:pStyle w:val="Heading2"/>
      </w:pPr>
      <w:bookmarkStart w:id="37" w:name="_Toc123110432"/>
      <w:bookmarkStart w:id="38" w:name="_Toc171783651"/>
      <w:r>
        <w:t xml:space="preserve">3.1.4 </w:t>
      </w:r>
      <w:r w:rsidRPr="0096321E">
        <w:t>Step 4</w:t>
      </w:r>
      <w:r>
        <w:t>. Publish Notices</w:t>
      </w:r>
      <w:bookmarkEnd w:id="37"/>
      <w:bookmarkEnd w:id="38"/>
    </w:p>
    <w:p w14:paraId="01D7B0BB" w14:textId="77777777" w:rsidR="006667B2" w:rsidRDefault="006667B2" w:rsidP="00AE17BC">
      <w:pPr>
        <w:pStyle w:val="CDBGBODYSTYLE"/>
        <w:spacing w:line="240" w:lineRule="auto"/>
      </w:pPr>
    </w:p>
    <w:p w14:paraId="4AA3A091" w14:textId="5915DED4" w:rsidR="006667B2" w:rsidRDefault="006667B2" w:rsidP="00AE17BC">
      <w:pPr>
        <w:pStyle w:val="CDBGBODYSTYLE"/>
        <w:spacing w:line="240" w:lineRule="auto"/>
        <w:ind w:right="216"/>
      </w:pPr>
      <w:r>
        <w:t>Applicable f</w:t>
      </w:r>
      <w:r w:rsidRPr="00960999">
        <w:t>or reviews under the categories</w:t>
      </w:r>
      <w:r>
        <w:t>,</w:t>
      </w:r>
      <w:r w:rsidRPr="00960999">
        <w:t xml:space="preserve"> </w:t>
      </w:r>
      <w:r>
        <w:t>"</w:t>
      </w:r>
      <w:r w:rsidRPr="00960999">
        <w:t>Environmental Assessment</w:t>
      </w:r>
      <w:r>
        <w:t>”</w:t>
      </w:r>
      <w:r w:rsidRPr="00960999">
        <w:t xml:space="preserve"> and </w:t>
      </w:r>
      <w:r>
        <w:t>“</w:t>
      </w:r>
      <w:r w:rsidRPr="00960999">
        <w:t xml:space="preserve">Categorically Excluded, </w:t>
      </w:r>
      <w:r>
        <w:t>s</w:t>
      </w:r>
      <w:r w:rsidRPr="00960999">
        <w:t xml:space="preserve">ubject to </w:t>
      </w:r>
      <w:r>
        <w:t xml:space="preserve">[24 CFR] </w:t>
      </w:r>
      <w:r w:rsidRPr="00960999">
        <w:t>§58.5</w:t>
      </w:r>
      <w:r>
        <w:t>” discussed earlier in this chapter:</w:t>
      </w:r>
    </w:p>
    <w:p w14:paraId="0253C215" w14:textId="77777777" w:rsidR="006667B2" w:rsidRDefault="006667B2" w:rsidP="00AE17BC">
      <w:pPr>
        <w:pStyle w:val="CDBGBODYSTYLE"/>
        <w:spacing w:line="240" w:lineRule="auto"/>
        <w:ind w:right="216"/>
      </w:pPr>
    </w:p>
    <w:p w14:paraId="62495D38" w14:textId="03003DA6" w:rsidR="006667B2" w:rsidRDefault="006667B2" w:rsidP="00AE17BC">
      <w:pPr>
        <w:pStyle w:val="CDBGBODYSTYLE"/>
        <w:spacing w:line="240" w:lineRule="auto"/>
        <w:ind w:right="216"/>
      </w:pPr>
      <w:r w:rsidRPr="00255A61">
        <w:t xml:space="preserve">Once the </w:t>
      </w:r>
      <w:r>
        <w:t>Grant Recipient</w:t>
      </w:r>
      <w:r w:rsidRPr="00255A61">
        <w:t xml:space="preserve"> has verified compliance with </w:t>
      </w:r>
      <w:r>
        <w:t>related</w:t>
      </w:r>
      <w:r w:rsidRPr="00255A61">
        <w:t xml:space="preserve"> laws </w:t>
      </w:r>
      <w:r w:rsidRPr="006F18CC">
        <w:t xml:space="preserve">and authorities, </w:t>
      </w:r>
      <w:r>
        <w:t xml:space="preserve">the public must be notified of the results.  </w:t>
      </w:r>
    </w:p>
    <w:p w14:paraId="3B49CA6B" w14:textId="77777777" w:rsidR="00072778" w:rsidRDefault="00072778" w:rsidP="00AE17BC">
      <w:pPr>
        <w:pStyle w:val="CDBGBODYSTYLE"/>
        <w:spacing w:line="240" w:lineRule="auto"/>
        <w:ind w:right="216"/>
      </w:pPr>
    </w:p>
    <w:p w14:paraId="338A1306" w14:textId="77777777" w:rsidR="006667B2" w:rsidRDefault="006667B2" w:rsidP="00AE17BC">
      <w:pPr>
        <w:pStyle w:val="CDBGBULLETSTYLE"/>
        <w:spacing w:line="240" w:lineRule="auto"/>
        <w:ind w:left="720"/>
        <w:jc w:val="both"/>
      </w:pPr>
      <w:r>
        <w:t xml:space="preserve">Notices must comply with HUD regulations: </w:t>
      </w:r>
    </w:p>
    <w:p w14:paraId="5308AA51" w14:textId="77777777" w:rsidR="006667B2" w:rsidRDefault="006667B2" w:rsidP="00AE17BC">
      <w:pPr>
        <w:pStyle w:val="CDBGBULLETSTYLE"/>
        <w:numPr>
          <w:ilvl w:val="1"/>
          <w:numId w:val="8"/>
        </w:numPr>
        <w:spacing w:line="240" w:lineRule="auto"/>
        <w:ind w:left="1080"/>
        <w:jc w:val="both"/>
      </w:pPr>
      <w:r>
        <w:t xml:space="preserve">For </w:t>
      </w:r>
      <w:r w:rsidRPr="00ED5CA8">
        <w:t>Environmental Assessment (EA) projects</w:t>
      </w:r>
      <w:r>
        <w:t>, the</w:t>
      </w:r>
      <w:r w:rsidRPr="00ED5CA8">
        <w:t xml:space="preserve"> Combined Notice</w:t>
      </w:r>
      <w:r>
        <w:t xml:space="preserve"> meets the requirements of a </w:t>
      </w:r>
      <w:r w:rsidRPr="00ED5CA8">
        <w:t>Finding of No Significant Impact (FONSI</w:t>
      </w:r>
      <w:r>
        <w:t xml:space="preserve">) pursuant to </w:t>
      </w:r>
      <w:r>
        <w:rPr>
          <w:bCs/>
        </w:rPr>
        <w:t>24 CFR §</w:t>
      </w:r>
      <w:r w:rsidRPr="00ED5CA8">
        <w:t xml:space="preserve">58.45 and </w:t>
      </w:r>
      <w:r w:rsidRPr="00224A12">
        <w:rPr>
          <w:i/>
          <w:iCs/>
        </w:rPr>
        <w:t>Notice of Intent to Request Release of Funds</w:t>
      </w:r>
      <w:r w:rsidRPr="00ED5CA8">
        <w:t xml:space="preserve"> </w:t>
      </w:r>
      <w:r>
        <w:t>(</w:t>
      </w:r>
      <w:r w:rsidRPr="00ED5CA8">
        <w:t>NOI/RROF)</w:t>
      </w:r>
      <w:r w:rsidRPr="003A4BAB">
        <w:t xml:space="preserve"> </w:t>
      </w:r>
      <w:r>
        <w:t xml:space="preserve">pursuant to </w:t>
      </w:r>
      <w:r>
        <w:rPr>
          <w:bCs/>
        </w:rPr>
        <w:t>24 CFR §</w:t>
      </w:r>
      <w:r w:rsidRPr="00ED5CA8">
        <w:t>58.</w:t>
      </w:r>
      <w:r>
        <w:t>70.</w:t>
      </w:r>
      <w:r w:rsidRPr="005D157D">
        <w:rPr>
          <w:bCs/>
        </w:rPr>
        <w:t xml:space="preserve"> </w:t>
      </w:r>
      <w:r>
        <w:rPr>
          <w:bCs/>
        </w:rPr>
        <w:t>24 CFR §58.43</w:t>
      </w:r>
    </w:p>
    <w:p w14:paraId="0E7AB6CD" w14:textId="5D9DA296" w:rsidR="006667B2" w:rsidRDefault="006667B2" w:rsidP="00AE17BC">
      <w:pPr>
        <w:pStyle w:val="CDBGBULLETSTYLE"/>
        <w:numPr>
          <w:ilvl w:val="1"/>
          <w:numId w:val="8"/>
        </w:numPr>
        <w:spacing w:line="240" w:lineRule="auto"/>
        <w:ind w:left="1080"/>
        <w:jc w:val="both"/>
      </w:pPr>
      <w:r>
        <w:t>For</w:t>
      </w:r>
      <w:r w:rsidRPr="00726F07">
        <w:t xml:space="preserve"> </w:t>
      </w:r>
      <w:r w:rsidRPr="00ED5CA8">
        <w:t xml:space="preserve">Categorically Excluded, Subject to </w:t>
      </w:r>
      <w:r>
        <w:t xml:space="preserve">24 CFR </w:t>
      </w:r>
      <w:r w:rsidRPr="00ED5CA8">
        <w:t>§58.5</w:t>
      </w:r>
      <w:r>
        <w:t xml:space="preserve"> -- </w:t>
      </w:r>
      <w:r w:rsidRPr="00224A12">
        <w:rPr>
          <w:i/>
          <w:iCs/>
        </w:rPr>
        <w:t>Notice of Intent to Request Release of Funds</w:t>
      </w:r>
      <w:r w:rsidRPr="00ED5CA8">
        <w:t xml:space="preserve"> (NOI/RROF)</w:t>
      </w:r>
      <w:r w:rsidRPr="003B401B">
        <w:t xml:space="preserve"> </w:t>
      </w:r>
      <w:r>
        <w:t xml:space="preserve">pursuant to </w:t>
      </w:r>
      <w:r>
        <w:rPr>
          <w:bCs/>
        </w:rPr>
        <w:t>24 CFR §</w:t>
      </w:r>
      <w:r w:rsidRPr="00ED5CA8">
        <w:t>58.</w:t>
      </w:r>
      <w:r>
        <w:t xml:space="preserve">70. </w:t>
      </w:r>
      <w:r>
        <w:rPr>
          <w:bCs/>
        </w:rPr>
        <w:t>24 CFR §58.43</w:t>
      </w:r>
    </w:p>
    <w:p w14:paraId="3D72227F" w14:textId="552EAECB" w:rsidR="00EE2BAE" w:rsidRPr="00DA0BFE" w:rsidRDefault="00EE2BAE" w:rsidP="00AE17BC">
      <w:pPr>
        <w:pStyle w:val="CDBGBULLETSTYLE"/>
        <w:spacing w:line="240" w:lineRule="auto"/>
        <w:ind w:left="720"/>
        <w:jc w:val="both"/>
      </w:pPr>
      <w:r w:rsidRPr="00DA0BFE">
        <w:t xml:space="preserve">TDA-GO will automatically populate details from the </w:t>
      </w:r>
      <w:r w:rsidRPr="00DA0BFE">
        <w:rPr>
          <w:i/>
          <w:iCs/>
        </w:rPr>
        <w:t>Environmental Review Main Form</w:t>
      </w:r>
      <w:r w:rsidRPr="00DA0BFE">
        <w:t xml:space="preserve"> into the notice</w:t>
      </w:r>
      <w:r w:rsidR="003503DF">
        <w:t>.</w:t>
      </w:r>
      <w:r w:rsidRPr="00DA0BFE">
        <w:t xml:space="preserve"> The notice must always be congruent with the </w:t>
      </w:r>
      <w:r w:rsidRPr="00DA0BFE">
        <w:rPr>
          <w:i/>
          <w:iCs/>
        </w:rPr>
        <w:t>Main Form</w:t>
      </w:r>
      <w:r w:rsidRPr="00DA0BFE">
        <w:t xml:space="preserve">, e.g., a location name change on the </w:t>
      </w:r>
      <w:r w:rsidRPr="00DA0BFE">
        <w:rPr>
          <w:i/>
          <w:iCs/>
        </w:rPr>
        <w:t>Main Form</w:t>
      </w:r>
      <w:r w:rsidRPr="00DA0BFE">
        <w:t xml:space="preserve"> must be documented on the notice and vice versa. </w:t>
      </w:r>
    </w:p>
    <w:p w14:paraId="14953F14" w14:textId="044746C2" w:rsidR="00EE2BAE" w:rsidRPr="00DA0BFE" w:rsidRDefault="00EE2BAE" w:rsidP="00AE17BC">
      <w:pPr>
        <w:pStyle w:val="CDBGBULLETSTYLE"/>
        <w:numPr>
          <w:ilvl w:val="0"/>
          <w:numId w:val="0"/>
        </w:numPr>
        <w:spacing w:line="240" w:lineRule="auto"/>
        <w:ind w:left="720"/>
        <w:jc w:val="both"/>
      </w:pPr>
      <w:r w:rsidRPr="00DA0BFE">
        <w:rPr>
          <w:b/>
          <w:bCs/>
        </w:rPr>
        <w:t>Note:</w:t>
      </w:r>
      <w:r w:rsidRPr="00DA0BFE">
        <w:t xml:space="preserve"> Notices will not be automatically disseminated by TDA.</w:t>
      </w:r>
    </w:p>
    <w:p w14:paraId="1B0B3B11" w14:textId="35D6D655" w:rsidR="00A510B5" w:rsidRPr="00DA0BFE" w:rsidRDefault="00A510B5" w:rsidP="00AE17BC">
      <w:pPr>
        <w:pStyle w:val="CDBGBULLETSTYLE"/>
        <w:spacing w:line="240" w:lineRule="auto"/>
        <w:ind w:left="720"/>
      </w:pPr>
      <w:r w:rsidRPr="00DA0BFE">
        <w:t xml:space="preserve">Local Comment Periods (Initial comment period on the local government level): The local comment period begins the day after the date the notice is published or posted. If the last day of the local comment period should fall on Saturday, Sunday or a Federal holiday, comment periods shall be extended to the next business day.   If comments are received, the </w:t>
      </w:r>
      <w:r w:rsidR="003404D5" w:rsidRPr="00DA0BFE">
        <w:t>Grant Recipient</w:t>
      </w:r>
      <w:r w:rsidRPr="00DA0BFE">
        <w:t xml:space="preserve"> must consider the comments and make modifications, if appropriate, in response to the comments before the Environmental Review Main Form in TDA-GO is certified by the authorizing official. </w:t>
      </w:r>
    </w:p>
    <w:p w14:paraId="2E112F9F" w14:textId="211DB981" w:rsidR="006667B2" w:rsidRPr="00350605" w:rsidRDefault="00A510B5" w:rsidP="00AE17BC">
      <w:pPr>
        <w:pStyle w:val="CDBGBULLETSTYLE"/>
        <w:spacing w:line="240" w:lineRule="auto"/>
        <w:ind w:left="720"/>
        <w:jc w:val="both"/>
      </w:pPr>
      <w:r>
        <w:t xml:space="preserve">The required </w:t>
      </w:r>
      <w:r w:rsidR="006667B2">
        <w:t>notice</w:t>
      </w:r>
      <w:r>
        <w:t>(s)</w:t>
      </w:r>
      <w:r w:rsidR="006667B2">
        <w:t xml:space="preserve"> is generally published in a newspaper of general circulation in the community</w:t>
      </w:r>
      <w:r w:rsidR="00DA0BFE">
        <w:t>, s</w:t>
      </w:r>
      <w:r w:rsidR="006667B2" w:rsidRPr="00232AB9">
        <w:t xml:space="preserve">ee </w:t>
      </w:r>
      <w:r w:rsidR="006667B2" w:rsidRPr="00DA0BFE">
        <w:rPr>
          <w:i/>
          <w:iCs/>
        </w:rPr>
        <w:t>Chapter 1</w:t>
      </w:r>
      <w:r w:rsidR="006667B2" w:rsidRPr="00232AB9">
        <w:t xml:space="preserve"> </w:t>
      </w:r>
      <w:r w:rsidR="006667B2" w:rsidRPr="00350605">
        <w:rPr>
          <w:i/>
          <w:iCs/>
        </w:rPr>
        <w:t>Administration and Reporting</w:t>
      </w:r>
      <w:r w:rsidR="006667B2" w:rsidRPr="00873A3B">
        <w:t>,</w:t>
      </w:r>
      <w:r w:rsidR="006667B2" w:rsidRPr="00F10D1C">
        <w:rPr>
          <w:b/>
          <w:bCs/>
        </w:rPr>
        <w:t xml:space="preserve"> </w:t>
      </w:r>
      <w:r w:rsidR="006667B2" w:rsidRPr="00DA0BFE">
        <w:rPr>
          <w:i/>
          <w:iCs/>
        </w:rPr>
        <w:t>Section 1.1.5</w:t>
      </w:r>
      <w:r w:rsidR="006667B2">
        <w:t>,</w:t>
      </w:r>
      <w:r w:rsidR="006667B2" w:rsidRPr="00232AB9">
        <w:t xml:space="preserve"> for detailed instructions regarding public notices and documentation.  </w:t>
      </w:r>
    </w:p>
    <w:p w14:paraId="645CB104" w14:textId="6B03AFC5" w:rsidR="006667B2" w:rsidRPr="00232AB9" w:rsidRDefault="006667B2" w:rsidP="00AE17BC">
      <w:pPr>
        <w:pStyle w:val="CDBGBULLETSTYLE"/>
        <w:spacing w:line="240" w:lineRule="auto"/>
        <w:ind w:left="720"/>
        <w:jc w:val="both"/>
      </w:pPr>
      <w:r>
        <w:t xml:space="preserve">For notices posted in public locations rather than published in the newspaper: </w:t>
      </w:r>
    </w:p>
    <w:p w14:paraId="38896E88" w14:textId="77777777" w:rsidR="006667B2" w:rsidRDefault="006667B2" w:rsidP="00AE17BC">
      <w:pPr>
        <w:pStyle w:val="CDBGBULLETSTYLE"/>
        <w:numPr>
          <w:ilvl w:val="1"/>
          <w:numId w:val="8"/>
        </w:numPr>
        <w:spacing w:line="240" w:lineRule="auto"/>
        <w:ind w:left="1080"/>
        <w:jc w:val="both"/>
      </w:pPr>
      <w:r>
        <w:t>The Grant Recipient must allow t</w:t>
      </w:r>
      <w:r w:rsidRPr="00F10D1C">
        <w:t>hree</w:t>
      </w:r>
      <w:r>
        <w:t xml:space="preserve"> </w:t>
      </w:r>
      <w:r w:rsidRPr="00F10D1C">
        <w:t xml:space="preserve">additional days for public comments on the review if the notices are posted rather than published in the newspaper, as required by 24 CFR </w:t>
      </w:r>
      <w:r>
        <w:t>§§</w:t>
      </w:r>
      <w:r w:rsidRPr="00F10D1C">
        <w:t>58.43 and 58.45.</w:t>
      </w:r>
    </w:p>
    <w:p w14:paraId="0B622470" w14:textId="1E489E24" w:rsidR="006667B2" w:rsidRPr="007E5785" w:rsidRDefault="00E20847" w:rsidP="00AE17BC">
      <w:pPr>
        <w:pStyle w:val="CDBGBULLETSTYLE"/>
        <w:numPr>
          <w:ilvl w:val="1"/>
          <w:numId w:val="8"/>
        </w:numPr>
        <w:spacing w:line="240" w:lineRule="auto"/>
        <w:ind w:left="1080"/>
        <w:jc w:val="both"/>
        <w:rPr>
          <w:color w:val="2F5496" w:themeColor="accent1" w:themeShade="BF"/>
        </w:rPr>
      </w:pPr>
      <w:r w:rsidRPr="007E5785">
        <w:rPr>
          <w:color w:val="2F5496" w:themeColor="accent1" w:themeShade="BF"/>
        </w:rPr>
        <w:t xml:space="preserve">See Section 3.1.3, </w:t>
      </w:r>
      <w:r w:rsidRPr="007E5785">
        <w:rPr>
          <w:i/>
          <w:iCs/>
          <w:color w:val="2F5496" w:themeColor="accent1" w:themeShade="BF"/>
        </w:rPr>
        <w:t>8-Step Decision Making Process for Floodplain Management and Protection of Wetlands</w:t>
      </w:r>
      <w:r w:rsidRPr="007E5785">
        <w:rPr>
          <w:color w:val="2F5496" w:themeColor="accent1" w:themeShade="BF"/>
        </w:rPr>
        <w:t xml:space="preserve"> for limitations on posting floodplain notices. </w:t>
      </w:r>
      <w:r w:rsidR="006667B2" w:rsidRPr="007E5785">
        <w:rPr>
          <w:color w:val="2F5496" w:themeColor="accent1" w:themeShade="BF"/>
        </w:rPr>
        <w:t xml:space="preserve"> </w:t>
      </w:r>
    </w:p>
    <w:p w14:paraId="04D6491D" w14:textId="4B720DD3" w:rsidR="00C6353B" w:rsidRPr="00FB39EA" w:rsidRDefault="00C6353B" w:rsidP="00C6353B">
      <w:pPr>
        <w:pStyle w:val="CDBGBULLETSTYLE"/>
        <w:numPr>
          <w:ilvl w:val="1"/>
          <w:numId w:val="8"/>
        </w:numPr>
        <w:spacing w:line="240" w:lineRule="auto"/>
        <w:ind w:left="1080"/>
        <w:jc w:val="both"/>
      </w:pPr>
      <w:r w:rsidRPr="00FB39EA">
        <w:rPr>
          <w:i/>
          <w:iCs/>
        </w:rPr>
        <w:t>Affidavit of Posting</w:t>
      </w:r>
      <w:r w:rsidR="008B669F" w:rsidRPr="00FB39EA">
        <w:rPr>
          <w:i/>
          <w:iCs/>
        </w:rPr>
        <w:t xml:space="preserve"> </w:t>
      </w:r>
      <w:r w:rsidRPr="00FB39EA">
        <w:rPr>
          <w:b/>
          <w:bCs/>
        </w:rPr>
        <w:t xml:space="preserve">(Form </w:t>
      </w:r>
      <w:r w:rsidR="00DB24DF" w:rsidRPr="00FB39EA">
        <w:rPr>
          <w:b/>
          <w:bCs/>
        </w:rPr>
        <w:t>A101</w:t>
      </w:r>
      <w:r w:rsidRPr="00FB39EA">
        <w:rPr>
          <w:b/>
          <w:bCs/>
        </w:rPr>
        <w:t>)</w:t>
      </w:r>
      <w:r w:rsidRPr="00FB39EA">
        <w:t xml:space="preserve"> is required for notices posted rather than published. </w:t>
      </w:r>
      <w:r w:rsidR="00797C31" w:rsidRPr="00FB39EA">
        <w:t>The a</w:t>
      </w:r>
      <w:r w:rsidRPr="00FB39EA">
        <w:t xml:space="preserve">ffidavit must be notarized </w:t>
      </w:r>
      <w:r w:rsidR="00A017EB" w:rsidRPr="00FB39EA">
        <w:t>following the</w:t>
      </w:r>
      <w:r w:rsidRPr="00FB39EA">
        <w:t xml:space="preserve"> comment period.</w:t>
      </w:r>
    </w:p>
    <w:p w14:paraId="4F1C85AC" w14:textId="1A99DB1E" w:rsidR="006667B2" w:rsidRPr="00B4185B" w:rsidRDefault="006667B2" w:rsidP="00AE17BC">
      <w:pPr>
        <w:pStyle w:val="CDBGBULLETSTYLE"/>
        <w:spacing w:line="240" w:lineRule="auto"/>
        <w:ind w:left="720"/>
        <w:jc w:val="both"/>
        <w:rPr>
          <w:b/>
          <w:bCs/>
        </w:rPr>
      </w:pPr>
      <w:r w:rsidRPr="00B4185B">
        <w:rPr>
          <w:bCs/>
        </w:rPr>
        <w:t>T</w:t>
      </w:r>
      <w:r w:rsidRPr="006F18CC">
        <w:t>his</w:t>
      </w:r>
      <w:r>
        <w:rPr>
          <w:bCs/>
        </w:rPr>
        <w:t xml:space="preserve"> </w:t>
      </w:r>
      <w:r w:rsidRPr="006F18CC">
        <w:t>NOI/RROF</w:t>
      </w:r>
      <w:r w:rsidRPr="00ED5CA8">
        <w:rPr>
          <w:b/>
        </w:rPr>
        <w:t xml:space="preserve"> must</w:t>
      </w:r>
      <w:r w:rsidRPr="006F18CC">
        <w:rPr>
          <w:bCs/>
        </w:rPr>
        <w:t xml:space="preserve"> also be sent, </w:t>
      </w:r>
      <w:r w:rsidRPr="006F18CC">
        <w:t>at a minimum, to</w:t>
      </w:r>
      <w:r w:rsidRPr="00255A61">
        <w:t xml:space="preserve"> the following</w:t>
      </w:r>
      <w:r w:rsidR="00BE795B">
        <w:t>:</w:t>
      </w:r>
      <w:r w:rsidR="00BE795B">
        <w:rPr>
          <w:rStyle w:val="FootnoteReference"/>
        </w:rPr>
        <w:footnoteReference w:id="13"/>
      </w:r>
    </w:p>
    <w:p w14:paraId="1440FF0A" w14:textId="13BAC5A2" w:rsidR="006667B2" w:rsidRDefault="006667B2" w:rsidP="00AE17BC">
      <w:pPr>
        <w:pStyle w:val="CDBGBULLETSTYLE"/>
        <w:numPr>
          <w:ilvl w:val="1"/>
          <w:numId w:val="8"/>
        </w:numPr>
        <w:spacing w:line="240" w:lineRule="auto"/>
        <w:ind w:left="1080"/>
        <w:jc w:val="both"/>
      </w:pPr>
      <w:r w:rsidRPr="00255A61">
        <w:t xml:space="preserve">Local news </w:t>
      </w:r>
      <w:proofErr w:type="gramStart"/>
      <w:r w:rsidRPr="00255A61">
        <w:t>media;</w:t>
      </w:r>
      <w:proofErr w:type="gramEnd"/>
    </w:p>
    <w:p w14:paraId="1C84D729" w14:textId="7F3C9657" w:rsidR="006667B2" w:rsidRDefault="006667B2" w:rsidP="00AE17BC">
      <w:pPr>
        <w:pStyle w:val="CDBGBULLETSTYLE"/>
        <w:numPr>
          <w:ilvl w:val="1"/>
          <w:numId w:val="8"/>
        </w:numPr>
        <w:spacing w:line="240" w:lineRule="auto"/>
        <w:ind w:left="1080"/>
        <w:jc w:val="both"/>
      </w:pPr>
      <w:r w:rsidRPr="00255A61">
        <w:t>Individuals and groups known to be interested in its activities; and</w:t>
      </w:r>
    </w:p>
    <w:p w14:paraId="2F3F0009" w14:textId="5260742D" w:rsidR="006667B2" w:rsidRDefault="006667B2" w:rsidP="00AE17BC">
      <w:pPr>
        <w:pStyle w:val="CDBGBULLETSTYLE"/>
        <w:numPr>
          <w:ilvl w:val="1"/>
          <w:numId w:val="8"/>
        </w:numPr>
        <w:spacing w:line="240" w:lineRule="auto"/>
        <w:ind w:left="1080"/>
        <w:jc w:val="both"/>
      </w:pPr>
      <w:r w:rsidRPr="00B4185B">
        <w:t xml:space="preserve">Appropriate </w:t>
      </w:r>
      <w:r w:rsidRPr="0000274B">
        <w:t>tribal,</w:t>
      </w:r>
      <w:r>
        <w:t xml:space="preserve"> </w:t>
      </w:r>
      <w:r w:rsidRPr="00B4185B">
        <w:t xml:space="preserve">local, </w:t>
      </w:r>
      <w:r>
        <w:t>s</w:t>
      </w:r>
      <w:r w:rsidRPr="00B4185B">
        <w:t xml:space="preserve">tate, and </w:t>
      </w:r>
      <w:r>
        <w:t>f</w:t>
      </w:r>
      <w:r w:rsidRPr="00B4185B">
        <w:t xml:space="preserve">ederal agencies and TDA. </w:t>
      </w:r>
    </w:p>
    <w:p w14:paraId="1EF11F54" w14:textId="198B104E" w:rsidR="006667B2" w:rsidRPr="00FF29C3" w:rsidRDefault="006667B2" w:rsidP="00AE17BC">
      <w:pPr>
        <w:pStyle w:val="CDBGBULLETSTYLE"/>
        <w:spacing w:line="240" w:lineRule="auto"/>
        <w:ind w:left="720"/>
        <w:jc w:val="both"/>
      </w:pPr>
      <w:r w:rsidRPr="00245B7E">
        <w:rPr>
          <w:b/>
          <w:bCs/>
        </w:rPr>
        <w:t>For Environmental Assessments</w:t>
      </w:r>
      <w:r>
        <w:t xml:space="preserve"> – Notice of the FONSI must be sent to the r</w:t>
      </w:r>
      <w:r w:rsidRPr="0049775B">
        <w:t xml:space="preserve">egional </w:t>
      </w:r>
      <w:r>
        <w:t>o</w:t>
      </w:r>
      <w:r w:rsidRPr="0049775B">
        <w:t xml:space="preserve">ffice of the </w:t>
      </w:r>
      <w:r>
        <w:t xml:space="preserve">U.S. </w:t>
      </w:r>
      <w:r w:rsidRPr="0049775B">
        <w:t xml:space="preserve">Environmental Protection Agency </w:t>
      </w:r>
      <w:r>
        <w:t xml:space="preserve">(EPA) </w:t>
      </w:r>
      <w:r w:rsidRPr="0049775B">
        <w:t>having jurisdiction</w:t>
      </w:r>
      <w:r>
        <w:t xml:space="preserve">. To prepare for public comment, select the </w:t>
      </w:r>
      <w:r w:rsidRPr="00245B7E">
        <w:rPr>
          <w:b/>
          <w:bCs/>
        </w:rPr>
        <w:t xml:space="preserve">Print </w:t>
      </w:r>
      <w:r>
        <w:t xml:space="preserve">button on the </w:t>
      </w:r>
      <w:r w:rsidRPr="00BE795B">
        <w:rPr>
          <w:i/>
          <w:iCs/>
        </w:rPr>
        <w:t xml:space="preserve">Environmental Review </w:t>
      </w:r>
      <w:r w:rsidR="00742099" w:rsidRPr="00BE795B">
        <w:rPr>
          <w:i/>
          <w:iCs/>
        </w:rPr>
        <w:t>Main Form</w:t>
      </w:r>
      <w:r w:rsidR="00742099">
        <w:t xml:space="preserve"> </w:t>
      </w:r>
      <w:r>
        <w:t xml:space="preserve">in TDA-GO. This will allow the </w:t>
      </w:r>
      <w:r w:rsidR="00E733B3">
        <w:t xml:space="preserve">environmental </w:t>
      </w:r>
      <w:r>
        <w:t>preparer to print the checklists required for the ERR.</w:t>
      </w:r>
    </w:p>
    <w:p w14:paraId="234BACFD" w14:textId="65750DDC" w:rsidR="006667B2" w:rsidRDefault="006667B2" w:rsidP="00AE17BC">
      <w:pPr>
        <w:pStyle w:val="CDBGBULLETSTYLE"/>
        <w:spacing w:line="240" w:lineRule="auto"/>
        <w:ind w:left="720"/>
        <w:jc w:val="both"/>
      </w:pPr>
      <w:r w:rsidRPr="00800ED2">
        <w:rPr>
          <w:b/>
        </w:rPr>
        <w:t xml:space="preserve">Public </w:t>
      </w:r>
      <w:r>
        <w:rPr>
          <w:b/>
        </w:rPr>
        <w:t>C</w:t>
      </w:r>
      <w:r w:rsidRPr="00800ED2">
        <w:rPr>
          <w:b/>
        </w:rPr>
        <w:t xml:space="preserve">omment </w:t>
      </w:r>
      <w:r>
        <w:rPr>
          <w:b/>
        </w:rPr>
        <w:t>P</w:t>
      </w:r>
      <w:r w:rsidRPr="00800ED2">
        <w:rPr>
          <w:b/>
        </w:rPr>
        <w:t>eriods</w:t>
      </w:r>
      <w:r>
        <w:rPr>
          <w:b/>
        </w:rPr>
        <w:t xml:space="preserve"> – </w:t>
      </w:r>
      <w:r w:rsidRPr="00800ED2">
        <w:t>Required notices must afford the public the following minimum comment periods</w:t>
      </w:r>
      <w:r>
        <w:t>:</w:t>
      </w:r>
      <w:r w:rsidR="00025C84">
        <w:rPr>
          <w:rStyle w:val="FootnoteReference"/>
        </w:rPr>
        <w:footnoteReference w:id="14"/>
      </w:r>
    </w:p>
    <w:p w14:paraId="293826BA" w14:textId="3A743ADA" w:rsidR="006667B2" w:rsidRPr="005D157D" w:rsidRDefault="006667B2" w:rsidP="00AE17BC">
      <w:pPr>
        <w:pStyle w:val="CDBGBULLETSTYLE"/>
        <w:numPr>
          <w:ilvl w:val="1"/>
          <w:numId w:val="8"/>
        </w:numPr>
        <w:spacing w:line="240" w:lineRule="auto"/>
        <w:ind w:left="1080"/>
        <w:jc w:val="both"/>
      </w:pPr>
      <w:r w:rsidRPr="005D157D">
        <w:t xml:space="preserve">When the level of review is Notice of Finding of No Significant Impact (FONSI), the period that the Grant Recipient must accept public comment on the Notice is </w:t>
      </w:r>
      <w:r w:rsidR="00BE795B">
        <w:t xml:space="preserve">(fifteen) </w:t>
      </w:r>
      <w:r w:rsidRPr="005D157D">
        <w:t xml:space="preserve">15 days when published, or if no publication, </w:t>
      </w:r>
      <w:r w:rsidR="00BE795B">
        <w:t>eighteen (</w:t>
      </w:r>
      <w:r w:rsidRPr="005D157D">
        <w:t>18</w:t>
      </w:r>
      <w:r w:rsidR="00BE795B">
        <w:t>)</w:t>
      </w:r>
      <w:r w:rsidRPr="005D157D">
        <w:t xml:space="preserve"> days when mailing and posting.</w:t>
      </w:r>
    </w:p>
    <w:p w14:paraId="6A32659D" w14:textId="6E4A7C90" w:rsidR="006667B2" w:rsidRPr="005D157D" w:rsidRDefault="006667B2" w:rsidP="00AE17BC">
      <w:pPr>
        <w:pStyle w:val="CDBGBULLETSTYLE"/>
        <w:numPr>
          <w:ilvl w:val="1"/>
          <w:numId w:val="8"/>
        </w:numPr>
        <w:spacing w:line="240" w:lineRule="auto"/>
        <w:ind w:left="1080"/>
        <w:jc w:val="both"/>
      </w:pPr>
      <w:r w:rsidRPr="005D157D">
        <w:t xml:space="preserve">When the level of review is Notice of Intent to Request Release of Funds (NOI-RROF), the period that the Grant Recipient must accept public comment on the Notice is seven </w:t>
      </w:r>
      <w:r w:rsidR="00BE795B">
        <w:t xml:space="preserve">(7) </w:t>
      </w:r>
      <w:r w:rsidRPr="005D157D">
        <w:t xml:space="preserve">days when published, or if no publication, ten </w:t>
      </w:r>
      <w:r w:rsidR="00BE795B">
        <w:t xml:space="preserve">(10) </w:t>
      </w:r>
      <w:r w:rsidRPr="005D157D">
        <w:t>days when mailing and posting.</w:t>
      </w:r>
    </w:p>
    <w:p w14:paraId="2A713325" w14:textId="116207FE" w:rsidR="006667B2" w:rsidRPr="00BE795B" w:rsidRDefault="006667B2" w:rsidP="00AE17BC">
      <w:pPr>
        <w:pStyle w:val="CDBGBULLETSTYLE"/>
        <w:numPr>
          <w:ilvl w:val="1"/>
          <w:numId w:val="8"/>
        </w:numPr>
        <w:spacing w:line="240" w:lineRule="auto"/>
        <w:ind w:left="1080"/>
        <w:jc w:val="both"/>
        <w:rPr>
          <w:bCs/>
        </w:rPr>
      </w:pPr>
      <w:r w:rsidRPr="00BE795B">
        <w:t xml:space="preserve">When the level of review is concurrent or combined notices, the period that the Grant Recipient must accept public comment on the Notice is </w:t>
      </w:r>
      <w:r w:rsidR="00BE795B">
        <w:t>fifteen (</w:t>
      </w:r>
      <w:r w:rsidRPr="00BE795B">
        <w:t>15</w:t>
      </w:r>
      <w:r w:rsidR="00BE795B">
        <w:t>)</w:t>
      </w:r>
      <w:r w:rsidRPr="00BE795B">
        <w:t xml:space="preserve"> days when published or, if no publication, </w:t>
      </w:r>
      <w:r w:rsidR="00BE795B">
        <w:t>eighteen (</w:t>
      </w:r>
      <w:r w:rsidRPr="00BE795B">
        <w:t>18</w:t>
      </w:r>
      <w:r w:rsidR="00BE795B">
        <w:t>)</w:t>
      </w:r>
      <w:r w:rsidRPr="00BE795B">
        <w:t xml:space="preserve"> days when mailing and posting.</w:t>
      </w:r>
      <w:r w:rsidR="00B02BC4" w:rsidRPr="00BE795B">
        <w:t xml:space="preserve"> </w:t>
      </w:r>
      <w:r w:rsidR="00B02BC4" w:rsidRPr="00BE795B">
        <w:rPr>
          <w:bCs/>
        </w:rPr>
        <w:t>Public comment periods must account for public access to the notice.</w:t>
      </w:r>
    </w:p>
    <w:p w14:paraId="53C3D6A0" w14:textId="168A295D" w:rsidR="006667B2" w:rsidRPr="00BE795B" w:rsidRDefault="006667B2" w:rsidP="00AE17BC">
      <w:pPr>
        <w:pStyle w:val="CDBGBULLETSTYLE"/>
        <w:numPr>
          <w:ilvl w:val="1"/>
          <w:numId w:val="8"/>
        </w:numPr>
        <w:spacing w:line="240" w:lineRule="auto"/>
        <w:ind w:left="1080"/>
        <w:jc w:val="both"/>
      </w:pPr>
      <w:r w:rsidRPr="00BE795B">
        <w:t xml:space="preserve">All time periods shall be counted in calendar days. The first day of </w:t>
      </w:r>
      <w:proofErr w:type="gramStart"/>
      <w:r w:rsidRPr="00BE795B">
        <w:t>a time period</w:t>
      </w:r>
      <w:proofErr w:type="gramEnd"/>
      <w:r w:rsidRPr="00BE795B">
        <w:t xml:space="preserve"> begins at 12:01 a.m. local time </w:t>
      </w:r>
      <w:r w:rsidRPr="00BE795B">
        <w:rPr>
          <w:b/>
          <w:bCs/>
        </w:rPr>
        <w:t>on the day following</w:t>
      </w:r>
      <w:r w:rsidRPr="00BE795B">
        <w:t xml:space="preserve"> the publication or the mailing and posting date of the notice which initiates the time period</w:t>
      </w:r>
      <w:r w:rsidR="00BE795B">
        <w:t>.</w:t>
      </w:r>
      <w:r w:rsidR="00BE795B">
        <w:rPr>
          <w:rStyle w:val="FootnoteReference"/>
        </w:rPr>
        <w:footnoteReference w:id="15"/>
      </w:r>
      <w:r w:rsidR="00BE795B">
        <w:t xml:space="preserve">  </w:t>
      </w:r>
      <w:r w:rsidR="00B02BC4" w:rsidRPr="00BE795B">
        <w:rPr>
          <w:bCs/>
        </w:rPr>
        <w:t>Public comment periods must account for public access to the notice.</w:t>
      </w:r>
      <w:r w:rsidRPr="00BE795B">
        <w:rPr>
          <w:b/>
        </w:rPr>
        <w:t xml:space="preserve"> </w:t>
      </w:r>
    </w:p>
    <w:p w14:paraId="1B0D9D35" w14:textId="77777777" w:rsidR="006667B2" w:rsidRDefault="006667B2" w:rsidP="00AE17BC">
      <w:pPr>
        <w:rPr>
          <w:rFonts w:cs="Arial"/>
          <w:szCs w:val="22"/>
        </w:rPr>
      </w:pPr>
    </w:p>
    <w:p w14:paraId="7454AF00" w14:textId="77777777" w:rsidR="006667B2" w:rsidRDefault="006667B2" w:rsidP="00AE17BC">
      <w:pPr>
        <w:pStyle w:val="CDBGBODYSTYLE"/>
        <w:spacing w:line="240" w:lineRule="auto"/>
      </w:pPr>
      <w:r>
        <w:t xml:space="preserve">Public comment periods and publications are </w:t>
      </w:r>
      <w:r w:rsidRPr="00053DF0">
        <w:rPr>
          <w:b/>
          <w:bCs/>
        </w:rPr>
        <w:t>not</w:t>
      </w:r>
      <w:r>
        <w:t xml:space="preserve"> required for the following review categories: </w:t>
      </w:r>
    </w:p>
    <w:p w14:paraId="6FCA8E68" w14:textId="77777777" w:rsidR="006667B2" w:rsidRDefault="006667B2" w:rsidP="00AE17BC">
      <w:pPr>
        <w:pStyle w:val="CDBGBULLETSTYLE"/>
        <w:spacing w:line="240" w:lineRule="auto"/>
        <w:ind w:left="720"/>
        <w:jc w:val="both"/>
      </w:pPr>
      <w:r>
        <w:t>Exempt level.</w:t>
      </w:r>
    </w:p>
    <w:p w14:paraId="48C60BEA" w14:textId="4D62C432" w:rsidR="006667B2" w:rsidRDefault="006667B2" w:rsidP="00AE17BC">
      <w:pPr>
        <w:pStyle w:val="CDBGBULLETSTYLE"/>
        <w:spacing w:line="240" w:lineRule="auto"/>
        <w:ind w:left="720"/>
        <w:jc w:val="both"/>
      </w:pPr>
      <w:r>
        <w:t xml:space="preserve">Categorically excluded and not subject to 24 CFR </w:t>
      </w:r>
      <w:r w:rsidRPr="009E49CE">
        <w:t>§</w:t>
      </w:r>
      <w:r w:rsidRPr="0026278E">
        <w:t>58</w:t>
      </w:r>
      <w:r>
        <w:t>.5.</w:t>
      </w:r>
    </w:p>
    <w:p w14:paraId="70C3EBA4" w14:textId="77777777" w:rsidR="006667B2" w:rsidRDefault="006667B2" w:rsidP="00AE17BC">
      <w:pPr>
        <w:rPr>
          <w:rFonts w:cs="Arial"/>
          <w:szCs w:val="22"/>
        </w:rPr>
      </w:pPr>
    </w:p>
    <w:p w14:paraId="2733F867" w14:textId="77777777" w:rsidR="006667B2" w:rsidRDefault="006667B2" w:rsidP="00AE17BC">
      <w:pPr>
        <w:rPr>
          <w:rFonts w:cs="Arial"/>
          <w:szCs w:val="22"/>
        </w:rPr>
      </w:pPr>
    </w:p>
    <w:p w14:paraId="0FCD4AC8" w14:textId="77777777" w:rsidR="006667B2" w:rsidRPr="007D4379" w:rsidRDefault="006667B2" w:rsidP="007D4379">
      <w:pPr>
        <w:pStyle w:val="Heading2"/>
      </w:pPr>
      <w:bookmarkStart w:id="39" w:name="_Toc123110433"/>
      <w:bookmarkStart w:id="40" w:name="_Toc171783652"/>
      <w:r w:rsidRPr="007D4379">
        <w:t>3.1.5 Step 5. Certifications</w:t>
      </w:r>
      <w:bookmarkEnd w:id="39"/>
      <w:bookmarkEnd w:id="40"/>
    </w:p>
    <w:p w14:paraId="51BA9972" w14:textId="77777777" w:rsidR="006667B2" w:rsidRDefault="006667B2" w:rsidP="00AE17BC">
      <w:pPr>
        <w:pStyle w:val="CDBGBODYSTYLE"/>
        <w:spacing w:line="240" w:lineRule="auto"/>
      </w:pPr>
    </w:p>
    <w:p w14:paraId="7E9D8C7E" w14:textId="516FCA9C" w:rsidR="006667B2" w:rsidRPr="00FB39EA" w:rsidRDefault="006667B2" w:rsidP="00AE17BC">
      <w:pPr>
        <w:pStyle w:val="1CDGBbodyArial11"/>
        <w:spacing w:line="240" w:lineRule="auto"/>
      </w:pPr>
      <w:r>
        <w:t xml:space="preserve">Two </w:t>
      </w:r>
      <w:r w:rsidRPr="00FB39EA">
        <w:t xml:space="preserve">certifications are required in the TDA-GO </w:t>
      </w:r>
      <w:r w:rsidRPr="00FB39EA">
        <w:rPr>
          <w:i/>
          <w:iCs/>
        </w:rPr>
        <w:t>Environmental Review Main Form</w:t>
      </w:r>
      <w:r w:rsidRPr="00FB39EA">
        <w:t xml:space="preserve">: </w:t>
      </w:r>
    </w:p>
    <w:p w14:paraId="7D23B50E" w14:textId="4DFA845E" w:rsidR="006667B2" w:rsidRPr="00FB39EA" w:rsidRDefault="006667B2" w:rsidP="00AE17BC">
      <w:pPr>
        <w:pStyle w:val="1CDGBbodyArial11"/>
        <w:numPr>
          <w:ilvl w:val="1"/>
          <w:numId w:val="37"/>
        </w:numPr>
        <w:spacing w:line="240" w:lineRule="auto"/>
        <w:rPr>
          <w:szCs w:val="22"/>
        </w:rPr>
      </w:pPr>
      <w:r w:rsidRPr="00FB39EA">
        <w:t xml:space="preserve">The </w:t>
      </w:r>
      <w:r w:rsidR="00E733B3" w:rsidRPr="00FB39EA">
        <w:t>environmental preparer must affirm the ER determination and checklist in TDA-GO</w:t>
      </w:r>
      <w:r w:rsidR="00471710" w:rsidRPr="00FB39EA">
        <w:t xml:space="preserve">.  If a public comment period is required, this certification must occur </w:t>
      </w:r>
      <w:r w:rsidR="00471710" w:rsidRPr="00FB39EA">
        <w:rPr>
          <w:i/>
          <w:iCs/>
        </w:rPr>
        <w:t xml:space="preserve">prior </w:t>
      </w:r>
      <w:r w:rsidR="00E733B3" w:rsidRPr="00FB39EA">
        <w:t xml:space="preserve">to the public comment period. </w:t>
      </w:r>
    </w:p>
    <w:p w14:paraId="5DE5E0E1" w14:textId="6C579E02" w:rsidR="006667B2" w:rsidRPr="00FB39EA" w:rsidRDefault="006667B2" w:rsidP="00AE17BC">
      <w:pPr>
        <w:pStyle w:val="1CDGBbodyArial11"/>
        <w:numPr>
          <w:ilvl w:val="1"/>
          <w:numId w:val="37"/>
        </w:numPr>
        <w:spacing w:line="240" w:lineRule="auto"/>
        <w:rPr>
          <w:szCs w:val="22"/>
        </w:rPr>
      </w:pPr>
      <w:r w:rsidRPr="00FB39EA">
        <w:rPr>
          <w:szCs w:val="22"/>
        </w:rPr>
        <w:t xml:space="preserve">The </w:t>
      </w:r>
      <w:r w:rsidR="00E733B3" w:rsidRPr="00FB39EA">
        <w:rPr>
          <w:szCs w:val="22"/>
        </w:rPr>
        <w:t xml:space="preserve">authorizing </w:t>
      </w:r>
      <w:r w:rsidRPr="00FB39EA">
        <w:rPr>
          <w:szCs w:val="22"/>
        </w:rPr>
        <w:t>officer must accept responsibility for the review</w:t>
      </w:r>
      <w:r w:rsidR="00A752AF" w:rsidRPr="00FB39EA">
        <w:rPr>
          <w:szCs w:val="22"/>
        </w:rPr>
        <w:t xml:space="preserve"> </w:t>
      </w:r>
      <w:r w:rsidR="00E733B3" w:rsidRPr="00FB39EA">
        <w:rPr>
          <w:szCs w:val="22"/>
        </w:rPr>
        <w:t xml:space="preserve">by certifying the </w:t>
      </w:r>
      <w:r w:rsidR="00E733B3" w:rsidRPr="00FB39EA">
        <w:rPr>
          <w:i/>
          <w:iCs/>
          <w:szCs w:val="22"/>
        </w:rPr>
        <w:t>Environmental Review Main Form</w:t>
      </w:r>
      <w:r w:rsidR="00A752AF" w:rsidRPr="00FB39EA">
        <w:rPr>
          <w:szCs w:val="22"/>
        </w:rPr>
        <w:t>.</w:t>
      </w:r>
      <w:r w:rsidR="00471710" w:rsidRPr="00FB39EA">
        <w:rPr>
          <w:szCs w:val="22"/>
        </w:rPr>
        <w:t xml:space="preserve">  </w:t>
      </w:r>
      <w:r w:rsidR="00471710" w:rsidRPr="00FB39EA">
        <w:t xml:space="preserve">If a public comment period is required, this certification must occur </w:t>
      </w:r>
      <w:r w:rsidR="00471710" w:rsidRPr="00FB39EA">
        <w:rPr>
          <w:i/>
          <w:iCs/>
        </w:rPr>
        <w:t>after</w:t>
      </w:r>
      <w:r w:rsidR="00471710" w:rsidRPr="00FB39EA">
        <w:t xml:space="preserve"> the public comment period.</w:t>
      </w:r>
    </w:p>
    <w:p w14:paraId="31B44AC8" w14:textId="381520BE" w:rsidR="006667B2" w:rsidRPr="00471710" w:rsidRDefault="006667B2" w:rsidP="00AE17BC">
      <w:pPr>
        <w:pStyle w:val="1CDGBbodyArial11"/>
        <w:spacing w:line="240" w:lineRule="auto"/>
        <w:rPr>
          <w:color w:val="4472C4" w:themeColor="accent1"/>
        </w:rPr>
      </w:pPr>
    </w:p>
    <w:p w14:paraId="036F0712" w14:textId="77777777" w:rsidR="006667B2" w:rsidRDefault="006667B2" w:rsidP="00AE17BC">
      <w:pPr>
        <w:pStyle w:val="1CDGBbodyArial11"/>
        <w:spacing w:line="240" w:lineRule="auto"/>
        <w:rPr>
          <w:sz w:val="21"/>
          <w:szCs w:val="21"/>
        </w:rPr>
      </w:pPr>
      <w:r>
        <w:t>For reviews under the categories </w:t>
      </w:r>
      <w:r w:rsidRPr="002F3085">
        <w:rPr>
          <w:b/>
          <w:bCs/>
        </w:rPr>
        <w:t>Environmental Assessment and Categorically Excluded</w:t>
      </w:r>
      <w:r>
        <w:t>:</w:t>
      </w:r>
    </w:p>
    <w:p w14:paraId="556F0086" w14:textId="77777777" w:rsidR="006667B2" w:rsidRDefault="006667B2" w:rsidP="00AE17BC">
      <w:pPr>
        <w:pStyle w:val="1CDGBbodyArial11"/>
        <w:spacing w:line="240" w:lineRule="auto"/>
        <w:rPr>
          <w:sz w:val="21"/>
          <w:szCs w:val="21"/>
        </w:rPr>
      </w:pPr>
    </w:p>
    <w:p w14:paraId="1E73FD5B" w14:textId="380EF0A5" w:rsidR="006667B2" w:rsidRPr="00FB39EA" w:rsidRDefault="006667B2" w:rsidP="00AE17BC">
      <w:pPr>
        <w:pStyle w:val="1CDGBbodyArial11"/>
        <w:spacing w:line="240" w:lineRule="auto"/>
      </w:pPr>
      <w:r w:rsidRPr="00FA2D28">
        <w:t xml:space="preserve">After the public </w:t>
      </w:r>
      <w:r w:rsidRPr="00FB39EA">
        <w:t xml:space="preserve">comment period has expired and all comments, if any, are resolved, the Grant Recipient’s certifying officer must complete the </w:t>
      </w:r>
      <w:r w:rsidR="00471710" w:rsidRPr="00FB39EA">
        <w:t xml:space="preserve">RROF </w:t>
      </w:r>
      <w:r w:rsidRPr="00FB39EA">
        <w:t>Certification. See also</w:t>
      </w:r>
      <w:r w:rsidR="00E12025" w:rsidRPr="00FB39EA">
        <w:t xml:space="preserve"> </w:t>
      </w:r>
      <w:hyperlink r:id="rId16" w:tgtFrame="_blank" w:tooltip="https://www.hudexchange.info/resource/2338/hud-form-701515-request-release-funds-certification/" w:history="1">
        <w:r w:rsidRPr="00FB39EA">
          <w:rPr>
            <w:rStyle w:val="Hyperlink"/>
            <w:b w:val="0"/>
            <w:color w:val="auto"/>
          </w:rPr>
          <w:t>HUD form 7015.15</w:t>
        </w:r>
      </w:hyperlink>
      <w:r w:rsidRPr="00FB39EA">
        <w:t>,</w:t>
      </w:r>
      <w:r w:rsidR="00E12025" w:rsidRPr="00FB39EA">
        <w:t xml:space="preserve"> </w:t>
      </w:r>
      <w:r w:rsidRPr="00FB39EA">
        <w:t>found on the HUD Environmental Review webpage.</w:t>
      </w:r>
    </w:p>
    <w:p w14:paraId="2D4CB1BA" w14:textId="4ED8C297" w:rsidR="00471710" w:rsidRPr="00FB39EA" w:rsidRDefault="00471710" w:rsidP="00AE17BC">
      <w:pPr>
        <w:pStyle w:val="CDBGBULLETSTYLE"/>
        <w:spacing w:line="240" w:lineRule="auto"/>
        <w:ind w:left="720"/>
        <w:jc w:val="both"/>
      </w:pPr>
      <w:r w:rsidRPr="00FB39EA">
        <w:t>The authorizing official’s certification identified above certifies the RROF.</w:t>
      </w:r>
    </w:p>
    <w:p w14:paraId="62CB5C61" w14:textId="7604B2CF" w:rsidR="006667B2" w:rsidRDefault="006667B2" w:rsidP="00AE17BC">
      <w:pPr>
        <w:pStyle w:val="CDBGBULLETSTYLE"/>
        <w:spacing w:line="240" w:lineRule="auto"/>
        <w:ind w:left="720"/>
        <w:jc w:val="both"/>
        <w:rPr>
          <w:sz w:val="21"/>
          <w:szCs w:val="21"/>
        </w:rPr>
      </w:pPr>
      <w:r>
        <w:t>Only the designated certifying officer may sign the RROF.</w:t>
      </w:r>
    </w:p>
    <w:p w14:paraId="2EA3EAA7" w14:textId="77777777" w:rsidR="006667B2" w:rsidRDefault="006667B2" w:rsidP="00AE17BC">
      <w:pPr>
        <w:pStyle w:val="CDBGBULLETSTYLE"/>
        <w:spacing w:line="240" w:lineRule="auto"/>
        <w:ind w:left="720"/>
        <w:jc w:val="both"/>
        <w:rPr>
          <w:sz w:val="21"/>
          <w:szCs w:val="21"/>
        </w:rPr>
      </w:pPr>
      <w:r>
        <w:t>Because the certification form certifies that the dates of the comment periods have expired, the request form </w:t>
      </w:r>
      <w:r>
        <w:rPr>
          <w:b/>
          <w:bCs/>
        </w:rPr>
        <w:t>must</w:t>
      </w:r>
      <w:r>
        <w:t> not be signed prior to the</w:t>
      </w:r>
      <w:r>
        <w:rPr>
          <w:b/>
          <w:bCs/>
        </w:rPr>
        <w:t> day after the end of the public comment period</w:t>
      </w:r>
      <w:r>
        <w:t>. </w:t>
      </w:r>
    </w:p>
    <w:p w14:paraId="616DD458" w14:textId="172204E9" w:rsidR="006667B2" w:rsidRDefault="006667B2" w:rsidP="00AE17BC">
      <w:pPr>
        <w:pStyle w:val="CDBGBULLETSTYLE"/>
        <w:numPr>
          <w:ilvl w:val="0"/>
          <w:numId w:val="0"/>
        </w:numPr>
        <w:spacing w:line="240" w:lineRule="auto"/>
        <w:ind w:left="720"/>
        <w:jc w:val="both"/>
        <w:rPr>
          <w:sz w:val="21"/>
          <w:szCs w:val="21"/>
        </w:rPr>
      </w:pPr>
      <w:r>
        <w:rPr>
          <w:b/>
          <w:bCs/>
        </w:rPr>
        <w:t>NOTE</w:t>
      </w:r>
      <w:r>
        <w:t>: False claims or information could lead to criminal and/or civil penalties.</w:t>
      </w:r>
      <w:r w:rsidR="00BE795B">
        <w:rPr>
          <w:rStyle w:val="FootnoteReference"/>
        </w:rPr>
        <w:footnoteReference w:id="16"/>
      </w:r>
      <w:r>
        <w:t xml:space="preserve"> </w:t>
      </w:r>
    </w:p>
    <w:p w14:paraId="4D781F57" w14:textId="77777777" w:rsidR="006667B2" w:rsidRDefault="006667B2" w:rsidP="00BE795B"/>
    <w:p w14:paraId="1457319D" w14:textId="7DE38965" w:rsidR="006667B2" w:rsidRDefault="006667B2" w:rsidP="00AE17BC">
      <w:pPr>
        <w:pStyle w:val="1CDGBbodyArial11"/>
        <w:spacing w:line="240" w:lineRule="auto"/>
      </w:pPr>
      <w:r>
        <w:t>A</w:t>
      </w:r>
      <w:r w:rsidR="00471710">
        <w:t xml:space="preserve"> RROF</w:t>
      </w:r>
      <w:r>
        <w:t xml:space="preserve"> is not required for the following review categories:</w:t>
      </w:r>
    </w:p>
    <w:p w14:paraId="701701D0" w14:textId="317E964A" w:rsidR="006667B2" w:rsidRDefault="006667B2" w:rsidP="00AE17BC">
      <w:pPr>
        <w:pStyle w:val="CDBGBULLETSTYLE"/>
        <w:spacing w:line="240" w:lineRule="auto"/>
        <w:ind w:left="720"/>
        <w:jc w:val="both"/>
      </w:pPr>
      <w:r>
        <w:t>Exempt</w:t>
      </w:r>
      <w:r w:rsidR="000402B0">
        <w:t xml:space="preserve"> and</w:t>
      </w:r>
    </w:p>
    <w:p w14:paraId="3DAD8817" w14:textId="1DE8F74D" w:rsidR="006667B2" w:rsidRDefault="006667B2" w:rsidP="00AE17BC">
      <w:pPr>
        <w:pStyle w:val="CDBGBULLETSTYLE"/>
        <w:spacing w:line="240" w:lineRule="auto"/>
        <w:ind w:left="720"/>
      </w:pPr>
      <w:r>
        <w:t xml:space="preserve">Categorically excluded, not subject to 24 CFR </w:t>
      </w:r>
      <w:r w:rsidRPr="002F3085">
        <w:t>§</w:t>
      </w:r>
      <w:r>
        <w:t>58.5.</w:t>
      </w:r>
    </w:p>
    <w:p w14:paraId="454ABA30" w14:textId="3B37BE9C" w:rsidR="006667B2" w:rsidRDefault="006667B2" w:rsidP="00BE795B"/>
    <w:p w14:paraId="6D0D3CE0" w14:textId="77777777" w:rsidR="00E12025" w:rsidRDefault="00E12025" w:rsidP="00BE795B"/>
    <w:p w14:paraId="59488DBD" w14:textId="51BA51C5" w:rsidR="006667B2" w:rsidRPr="00D97C02" w:rsidRDefault="006667B2" w:rsidP="00BE795B">
      <w:pPr>
        <w:pStyle w:val="Heading2"/>
      </w:pPr>
      <w:bookmarkStart w:id="41" w:name="_Toc123110434"/>
      <w:bookmarkStart w:id="42" w:name="_Toc171783653"/>
      <w:r>
        <w:t xml:space="preserve">3.1.6 </w:t>
      </w:r>
      <w:r w:rsidRPr="00D97C02">
        <w:t>Step 6</w:t>
      </w:r>
      <w:r>
        <w:t xml:space="preserve">. </w:t>
      </w:r>
      <w:r w:rsidRPr="00D97C02">
        <w:t>Submit Clearance Documentation to TDA</w:t>
      </w:r>
      <w:bookmarkEnd w:id="41"/>
      <w:bookmarkEnd w:id="42"/>
    </w:p>
    <w:p w14:paraId="4F727E60" w14:textId="77777777" w:rsidR="006667B2" w:rsidRDefault="006667B2" w:rsidP="00AE17BC">
      <w:pPr>
        <w:pStyle w:val="CDBGBODYSTYLE"/>
        <w:spacing w:line="240" w:lineRule="auto"/>
        <w:ind w:right="-504"/>
      </w:pPr>
    </w:p>
    <w:p w14:paraId="7667063C" w14:textId="3984ED49" w:rsidR="006667B2" w:rsidRDefault="006667B2" w:rsidP="00AE17BC">
      <w:pPr>
        <w:pStyle w:val="CDBGBODYSTYLE"/>
        <w:spacing w:line="240" w:lineRule="auto"/>
        <w:ind w:right="-54"/>
      </w:pPr>
      <w:r w:rsidRPr="00C0374E">
        <w:t xml:space="preserve">The Grant Recipient must </w:t>
      </w:r>
      <w:r>
        <w:t>complete</w:t>
      </w:r>
      <w:r w:rsidRPr="00C0374E">
        <w:t xml:space="preserve"> </w:t>
      </w:r>
      <w:r>
        <w:t>all</w:t>
      </w:r>
      <w:r w:rsidRPr="00C0374E">
        <w:t xml:space="preserve"> </w:t>
      </w:r>
      <w:r>
        <w:t>required</w:t>
      </w:r>
      <w:r w:rsidRPr="00C0374E">
        <w:t xml:space="preserve"> </w:t>
      </w:r>
      <w:r>
        <w:t>sections</w:t>
      </w:r>
      <w:r w:rsidRPr="00C0374E">
        <w:t xml:space="preserve"> </w:t>
      </w:r>
      <w:r>
        <w:t xml:space="preserve">on the Environmental Review </w:t>
      </w:r>
      <w:r w:rsidR="003C3B12">
        <w:t xml:space="preserve">Main Form </w:t>
      </w:r>
      <w:r>
        <w:t>in</w:t>
      </w:r>
      <w:r w:rsidRPr="00C0374E">
        <w:t xml:space="preserve"> TDA</w:t>
      </w:r>
      <w:r>
        <w:t>-GO</w:t>
      </w:r>
      <w:r w:rsidRPr="00C0374E">
        <w:t xml:space="preserve"> </w:t>
      </w:r>
      <w:r>
        <w:t>based on the level of review identified in Section 3.1.1. To</w:t>
      </w:r>
      <w:r w:rsidRPr="00C0374E">
        <w:t xml:space="preserve"> </w:t>
      </w:r>
      <w:r w:rsidR="00DB24DF">
        <w:t>request a</w:t>
      </w:r>
      <w:r w:rsidR="00A017EB">
        <w:t>n environmental</w:t>
      </w:r>
      <w:r w:rsidR="00DB24DF">
        <w:t xml:space="preserve"> release of funds</w:t>
      </w:r>
      <w:r>
        <w:t xml:space="preserve">, select </w:t>
      </w:r>
      <w:r>
        <w:rPr>
          <w:i/>
          <w:iCs/>
        </w:rPr>
        <w:t xml:space="preserve">Submit Performance </w:t>
      </w:r>
      <w:r w:rsidRPr="005C65B3">
        <w:rPr>
          <w:i/>
          <w:iCs/>
        </w:rPr>
        <w:t>Report</w:t>
      </w:r>
      <w:r>
        <w:rPr>
          <w:i/>
          <w:iCs/>
        </w:rPr>
        <w:t xml:space="preserve"> </w:t>
      </w:r>
      <w:r>
        <w:t xml:space="preserve">in the Status Options section of the navigation menu.  </w:t>
      </w:r>
    </w:p>
    <w:p w14:paraId="69671212" w14:textId="2DFBD579" w:rsidR="006667B2" w:rsidRDefault="006667B2" w:rsidP="00AE17BC">
      <w:pPr>
        <w:pStyle w:val="CDBGBODYSTYLE"/>
        <w:spacing w:line="240" w:lineRule="auto"/>
        <w:ind w:right="-504"/>
      </w:pPr>
    </w:p>
    <w:p w14:paraId="31395F6B" w14:textId="77777777" w:rsidR="00FA2D28" w:rsidRDefault="00FA2D28" w:rsidP="00AE17BC">
      <w:pPr>
        <w:pStyle w:val="CDBGBODYSTYLE"/>
        <w:spacing w:line="240" w:lineRule="auto"/>
        <w:ind w:right="-504"/>
      </w:pPr>
    </w:p>
    <w:p w14:paraId="4AC36EA6" w14:textId="77777777" w:rsidR="006667B2" w:rsidRPr="00165B46" w:rsidRDefault="006667B2" w:rsidP="00BE795B">
      <w:pPr>
        <w:pStyle w:val="Heading2"/>
      </w:pPr>
      <w:bookmarkStart w:id="43" w:name="_Toc123110435"/>
      <w:bookmarkStart w:id="44" w:name="_Toc171783654"/>
      <w:r>
        <w:t xml:space="preserve">3.1.7 </w:t>
      </w:r>
      <w:r w:rsidRPr="00D97C02">
        <w:t>Step 7</w:t>
      </w:r>
      <w:r>
        <w:t xml:space="preserve">. </w:t>
      </w:r>
      <w:r w:rsidRPr="00D97C02">
        <w:t xml:space="preserve">State Objection Period and </w:t>
      </w:r>
      <w:r>
        <w:t>R</w:t>
      </w:r>
      <w:r w:rsidRPr="00D97C02">
        <w:t xml:space="preserve">elease of </w:t>
      </w:r>
      <w:r>
        <w:t>F</w:t>
      </w:r>
      <w:r w:rsidRPr="00D97C02">
        <w:t>unds</w:t>
      </w:r>
      <w:bookmarkEnd w:id="43"/>
      <w:bookmarkEnd w:id="44"/>
    </w:p>
    <w:p w14:paraId="4678AA73" w14:textId="77777777" w:rsidR="006667B2" w:rsidRDefault="006667B2" w:rsidP="00AE17BC">
      <w:pPr>
        <w:pStyle w:val="CDBGBODYSTYLE"/>
        <w:spacing w:line="240" w:lineRule="auto"/>
      </w:pPr>
    </w:p>
    <w:p w14:paraId="1E2FD6F2" w14:textId="0E94A2C9" w:rsidR="006667B2" w:rsidRDefault="006667B2" w:rsidP="00AE17BC">
      <w:pPr>
        <w:pStyle w:val="CDBGBODYSTYLE"/>
        <w:spacing w:line="240" w:lineRule="auto"/>
      </w:pPr>
      <w:r>
        <w:t>Applicable f</w:t>
      </w:r>
      <w:r w:rsidRPr="00960999">
        <w:t xml:space="preserve">or reviews under the categories </w:t>
      </w:r>
      <w:r w:rsidRPr="00053DF0">
        <w:rPr>
          <w:b/>
          <w:bCs/>
        </w:rPr>
        <w:t>Environmental Assessment</w:t>
      </w:r>
      <w:r w:rsidRPr="00960999">
        <w:t xml:space="preserve"> and </w:t>
      </w:r>
      <w:r w:rsidRPr="00053DF0">
        <w:rPr>
          <w:b/>
          <w:bCs/>
        </w:rPr>
        <w:t>Categorically</w:t>
      </w:r>
      <w:r w:rsidRPr="00960999">
        <w:t xml:space="preserve"> </w:t>
      </w:r>
      <w:r w:rsidRPr="00053DF0">
        <w:rPr>
          <w:b/>
          <w:bCs/>
        </w:rPr>
        <w:t>Excluded</w:t>
      </w:r>
      <w:r>
        <w:rPr>
          <w:b/>
          <w:bCs/>
        </w:rPr>
        <w:t xml:space="preserve"> Subject to 24 CFR §58.5</w:t>
      </w:r>
      <w:r>
        <w:t>:</w:t>
      </w:r>
    </w:p>
    <w:p w14:paraId="6FFCC4E9" w14:textId="26A02078" w:rsidR="006667B2" w:rsidRDefault="003404D5" w:rsidP="00AE17BC">
      <w:pPr>
        <w:pStyle w:val="CDBGBULLETSTYLE"/>
        <w:spacing w:line="240" w:lineRule="auto"/>
        <w:ind w:left="720"/>
        <w:jc w:val="both"/>
      </w:pPr>
      <w:r w:rsidRPr="00BE795B">
        <w:t>On t</w:t>
      </w:r>
      <w:r w:rsidR="00B02BC4" w:rsidRPr="00BE795B">
        <w:t xml:space="preserve">he working day after the </w:t>
      </w:r>
      <w:r w:rsidR="00B02BC4" w:rsidRPr="00474430">
        <w:t>Environmental Review</w:t>
      </w:r>
      <w:r w:rsidR="00B02BC4" w:rsidRPr="00BE795B">
        <w:t xml:space="preserve"> is submitted </w:t>
      </w:r>
      <w:proofErr w:type="gramStart"/>
      <w:r w:rsidR="00B02BC4" w:rsidRPr="00BE795B">
        <w:t>in</w:t>
      </w:r>
      <w:proofErr w:type="gramEnd"/>
      <w:r w:rsidR="00B02BC4" w:rsidRPr="00BE795B">
        <w:t xml:space="preserve"> TDA-GO, </w:t>
      </w:r>
      <w:r w:rsidR="00B02BC4" w:rsidRPr="00B02BC4">
        <w:t xml:space="preserve">the TDA Environmental Specialist will begin the State Objection Period, which is a minimum requirement of at least </w:t>
      </w:r>
      <w:r w:rsidR="00BE795B">
        <w:t>fifteen (</w:t>
      </w:r>
      <w:r w:rsidR="00B02BC4" w:rsidRPr="00B02BC4">
        <w:t>15</w:t>
      </w:r>
      <w:r w:rsidR="00BE795B">
        <w:t>)</w:t>
      </w:r>
      <w:r w:rsidR="00B02BC4" w:rsidRPr="00B02BC4">
        <w:t xml:space="preserve"> days. </w:t>
      </w:r>
      <w:r w:rsidR="006667B2">
        <w:t xml:space="preserve">The State Objection </w:t>
      </w:r>
      <w:proofErr w:type="gramStart"/>
      <w:r w:rsidR="006667B2">
        <w:t>time period</w:t>
      </w:r>
      <w:proofErr w:type="gramEnd"/>
      <w:r w:rsidR="006667B2">
        <w:t xml:space="preserve"> is </w:t>
      </w:r>
      <w:r w:rsidR="006667B2" w:rsidRPr="008D288B">
        <w:rPr>
          <w:i/>
          <w:iCs/>
        </w:rPr>
        <w:t>in addition</w:t>
      </w:r>
      <w:r w:rsidR="006667B2">
        <w:t xml:space="preserve"> to the time already allowed for public commentary as described above. </w:t>
      </w:r>
    </w:p>
    <w:p w14:paraId="4F1B0FDC" w14:textId="77777777" w:rsidR="006667B2" w:rsidRDefault="006667B2" w:rsidP="00AE17BC">
      <w:pPr>
        <w:pStyle w:val="CDBGBULLETSTYLE"/>
        <w:spacing w:line="240" w:lineRule="auto"/>
        <w:ind w:left="720"/>
        <w:jc w:val="both"/>
      </w:pPr>
      <w:r w:rsidRPr="001F5C65">
        <w:t xml:space="preserve">Any person or agency may object to a certified RROF. However, the objections must meet the conditions and procedures set forth in </w:t>
      </w:r>
      <w:r>
        <w:t xml:space="preserve">24 CFR </w:t>
      </w:r>
      <w:r w:rsidRPr="001F5C65">
        <w:t>Part 58</w:t>
      </w:r>
      <w:r>
        <w:t>,</w:t>
      </w:r>
      <w:r w:rsidRPr="001F5C65">
        <w:t xml:space="preserve"> Subpart H. </w:t>
      </w:r>
    </w:p>
    <w:p w14:paraId="5C3C5671" w14:textId="7CB75A82" w:rsidR="006667B2" w:rsidRDefault="006667B2" w:rsidP="00AE17BC">
      <w:pPr>
        <w:pStyle w:val="CDBGBULLETSTYLE"/>
        <w:spacing w:line="240" w:lineRule="auto"/>
        <w:ind w:left="720"/>
        <w:jc w:val="both"/>
      </w:pPr>
      <w:r w:rsidRPr="001F5C65">
        <w:t xml:space="preserve">If there are no objections received after </w:t>
      </w:r>
      <w:r w:rsidR="00BE795B">
        <w:t>fifteen (</w:t>
      </w:r>
      <w:r w:rsidRPr="001F5C65">
        <w:t>15</w:t>
      </w:r>
      <w:r w:rsidR="00BE795B">
        <w:t>)</w:t>
      </w:r>
      <w:r w:rsidRPr="001F5C65">
        <w:t xml:space="preserve"> days, TDA will </w:t>
      </w:r>
      <w:r>
        <w:t>issue an Authority to Use Grant Funds (AUGF).</w:t>
      </w:r>
    </w:p>
    <w:p w14:paraId="11CD1FFE" w14:textId="77777777" w:rsidR="006667B2" w:rsidRDefault="006667B2" w:rsidP="00AE17BC">
      <w:pPr>
        <w:pStyle w:val="CDBGBULLETSTYLE"/>
        <w:numPr>
          <w:ilvl w:val="0"/>
          <w:numId w:val="0"/>
        </w:numPr>
        <w:spacing w:line="240" w:lineRule="auto"/>
        <w:ind w:left="720" w:hanging="360"/>
        <w:jc w:val="both"/>
      </w:pPr>
    </w:p>
    <w:p w14:paraId="05511F2E" w14:textId="77777777" w:rsidR="006667B2" w:rsidRDefault="006667B2" w:rsidP="00AE17BC">
      <w:pPr>
        <w:pStyle w:val="CDBGBODYSTYLE"/>
        <w:spacing w:line="240" w:lineRule="auto"/>
      </w:pPr>
      <w:r>
        <w:t>Applicable f</w:t>
      </w:r>
      <w:r w:rsidRPr="00960999">
        <w:t xml:space="preserve">or reviews under the categories </w:t>
      </w:r>
      <w:r>
        <w:t>Exempt Level of Review</w:t>
      </w:r>
      <w:r w:rsidRPr="00960999">
        <w:t xml:space="preserve"> and </w:t>
      </w:r>
      <w:r w:rsidRPr="00053DF0">
        <w:t>Categorically</w:t>
      </w:r>
      <w:r w:rsidRPr="00960999">
        <w:t xml:space="preserve"> </w:t>
      </w:r>
      <w:r w:rsidRPr="00053DF0">
        <w:t>Excluded</w:t>
      </w:r>
      <w:r>
        <w:t xml:space="preserve"> Not Subject to 24 CFR §58.5:</w:t>
      </w:r>
    </w:p>
    <w:p w14:paraId="1425DB44" w14:textId="77777777" w:rsidR="006667B2" w:rsidRDefault="006667B2" w:rsidP="00AE17BC">
      <w:pPr>
        <w:pStyle w:val="CDBGBULLETSTYLE"/>
        <w:spacing w:line="240" w:lineRule="auto"/>
        <w:ind w:left="720"/>
        <w:jc w:val="both"/>
      </w:pPr>
      <w:r>
        <w:t xml:space="preserve">No State </w:t>
      </w:r>
      <w:r w:rsidRPr="001F5C65">
        <w:t xml:space="preserve">Objection Period </w:t>
      </w:r>
      <w:r>
        <w:t>is required.</w:t>
      </w:r>
    </w:p>
    <w:p w14:paraId="0B5971FC" w14:textId="44705F0D" w:rsidR="006667B2" w:rsidRDefault="006667B2" w:rsidP="00AE17BC">
      <w:pPr>
        <w:pStyle w:val="CDBGBULLETSTYLE"/>
        <w:spacing w:line="240" w:lineRule="auto"/>
        <w:ind w:left="720"/>
        <w:jc w:val="both"/>
      </w:pPr>
      <w:r>
        <w:t xml:space="preserve">TDA will issue an AUGF following its review of the </w:t>
      </w:r>
      <w:r w:rsidRPr="00BE795B">
        <w:rPr>
          <w:i/>
          <w:iCs/>
        </w:rPr>
        <w:t>Environmental Review</w:t>
      </w:r>
      <w:r>
        <w:t xml:space="preserve"> page in TDA-GO.  The AUGF may be accessed and printed from TDA-GO for the local ERR.</w:t>
      </w:r>
    </w:p>
    <w:p w14:paraId="01767F75" w14:textId="77777777" w:rsidR="006667B2" w:rsidRDefault="006667B2" w:rsidP="00AE17BC">
      <w:pPr>
        <w:pStyle w:val="CDBGBULLETSTYLE"/>
        <w:numPr>
          <w:ilvl w:val="0"/>
          <w:numId w:val="0"/>
        </w:numPr>
        <w:spacing w:line="240" w:lineRule="auto"/>
        <w:jc w:val="both"/>
      </w:pPr>
    </w:p>
    <w:p w14:paraId="3A0453BE" w14:textId="5DAECC3F" w:rsidR="006667B2" w:rsidRDefault="006667B2" w:rsidP="00AE17BC">
      <w:pPr>
        <w:pStyle w:val="CDBGBULLETSTYLE"/>
        <w:numPr>
          <w:ilvl w:val="0"/>
          <w:numId w:val="0"/>
        </w:numPr>
        <w:spacing w:line="240" w:lineRule="auto"/>
        <w:jc w:val="both"/>
      </w:pPr>
      <w:r>
        <w:t xml:space="preserve">The AUGF is </w:t>
      </w:r>
      <w:r w:rsidR="00025C84">
        <w:t>also referred to</w:t>
      </w:r>
      <w:r>
        <w:t xml:space="preserve"> as the </w:t>
      </w:r>
      <w:r w:rsidRPr="009C1442">
        <w:rPr>
          <w:b/>
          <w:bCs/>
        </w:rPr>
        <w:t>environmental clearance</w:t>
      </w:r>
      <w:r w:rsidRPr="009C1442">
        <w:t>.</w:t>
      </w:r>
    </w:p>
    <w:p w14:paraId="530D6841" w14:textId="649BEC79" w:rsidR="006667B2" w:rsidRDefault="006667B2" w:rsidP="00AE17BC">
      <w:pPr>
        <w:pStyle w:val="CDBGBULLETSTYLE"/>
        <w:spacing w:line="240" w:lineRule="auto"/>
        <w:ind w:left="720"/>
        <w:jc w:val="both"/>
      </w:pPr>
      <w:r>
        <w:t xml:space="preserve">Once the AUGF is issued, the Grant Recipient may commit grant funds and other funds to the </w:t>
      </w:r>
      <w:proofErr w:type="gramStart"/>
      <w:r>
        <w:t xml:space="preserve">project, </w:t>
      </w:r>
      <w:r w:rsidRPr="007E5785">
        <w:rPr>
          <w:color w:val="2F5496" w:themeColor="accent1" w:themeShade="BF"/>
        </w:rPr>
        <w:t>and</w:t>
      </w:r>
      <w:proofErr w:type="gramEnd"/>
      <w:r w:rsidRPr="007E5785">
        <w:rPr>
          <w:color w:val="2F5496" w:themeColor="accent1" w:themeShade="BF"/>
        </w:rPr>
        <w:t xml:space="preserve"> </w:t>
      </w:r>
      <w:r w:rsidR="00017C61" w:rsidRPr="007E5785">
        <w:rPr>
          <w:color w:val="2F5496" w:themeColor="accent1" w:themeShade="BF"/>
        </w:rPr>
        <w:t>may proceed with activities that were limited under §58.22</w:t>
      </w:r>
      <w:r w:rsidRPr="007E5785">
        <w:rPr>
          <w:color w:val="2F5496" w:themeColor="accent1" w:themeShade="BF"/>
        </w:rPr>
        <w:t>.</w:t>
      </w:r>
      <w:r>
        <w:t xml:space="preserve"> This </w:t>
      </w:r>
      <w:r w:rsidRPr="00255A61">
        <w:t>clearance is for t</w:t>
      </w:r>
      <w:r>
        <w:t>he environmental condition only;</w:t>
      </w:r>
      <w:r w:rsidRPr="00255A61">
        <w:t xml:space="preserve"> other </w:t>
      </w:r>
      <w:r>
        <w:t>s</w:t>
      </w:r>
      <w:r w:rsidRPr="00255A61">
        <w:t xml:space="preserve">pecial </w:t>
      </w:r>
      <w:r>
        <w:t>c</w:t>
      </w:r>
      <w:r w:rsidRPr="00255A61">
        <w:t xml:space="preserve">onditions in the </w:t>
      </w:r>
      <w:r w:rsidR="005540D8">
        <w:t>Grant Agreement</w:t>
      </w:r>
      <w:r w:rsidRPr="00255A61">
        <w:t xml:space="preserve"> must also be met before any construction funds can be released.</w:t>
      </w:r>
    </w:p>
    <w:p w14:paraId="44656ED0" w14:textId="77777777" w:rsidR="006667B2" w:rsidRDefault="006667B2" w:rsidP="00AE17BC">
      <w:pPr>
        <w:pStyle w:val="CDBGBULLETSTYLE"/>
        <w:spacing w:line="240" w:lineRule="auto"/>
        <w:ind w:left="720"/>
        <w:jc w:val="both"/>
      </w:pPr>
      <w:r>
        <w:t xml:space="preserve">The authorization is completed based on the certifying official’s signature certifying that all required procedures have been completed, along with the limited support documentation provided. </w:t>
      </w:r>
    </w:p>
    <w:p w14:paraId="6D3EEB6F" w14:textId="2C9B0146" w:rsidR="00952DF2" w:rsidRPr="00FB39EA" w:rsidRDefault="00952DF2" w:rsidP="00471710">
      <w:pPr>
        <w:pStyle w:val="CDBGBULLETSTYLE"/>
        <w:ind w:left="720" w:hanging="270"/>
      </w:pPr>
      <w:r w:rsidRPr="00FB39EA">
        <w:t xml:space="preserve">If approved, TDA will certify the AUGF Certification section found at the bottom of the Main Form. For a </w:t>
      </w:r>
      <w:r w:rsidR="00017C61" w:rsidRPr="00FB39EA">
        <w:t>hard copy</w:t>
      </w:r>
      <w:r w:rsidRPr="00FB39EA">
        <w:t xml:space="preserve"> of the RROF and AUGF for local records, the full Main Form should be printed in </w:t>
      </w:r>
      <w:r w:rsidR="00471710" w:rsidRPr="00FB39EA">
        <w:t xml:space="preserve">its </w:t>
      </w:r>
      <w:r w:rsidRPr="00FB39EA">
        <w:t>entirety.</w:t>
      </w:r>
    </w:p>
    <w:p w14:paraId="0258FC4E" w14:textId="77777777" w:rsidR="006667B2" w:rsidRDefault="006667B2" w:rsidP="00AE17BC">
      <w:pPr>
        <w:pStyle w:val="CDBGBULLETSTYLE"/>
        <w:numPr>
          <w:ilvl w:val="0"/>
          <w:numId w:val="0"/>
        </w:numPr>
        <w:spacing w:line="240" w:lineRule="auto"/>
        <w:ind w:left="360"/>
        <w:jc w:val="both"/>
      </w:pPr>
    </w:p>
    <w:p w14:paraId="2AD3EE8A" w14:textId="77777777" w:rsidR="006667B2" w:rsidRDefault="006667B2" w:rsidP="00AE17BC">
      <w:pPr>
        <w:pStyle w:val="CDBGBULLETSTYLE"/>
        <w:numPr>
          <w:ilvl w:val="0"/>
          <w:numId w:val="0"/>
        </w:numPr>
        <w:spacing w:line="240" w:lineRule="auto"/>
        <w:jc w:val="both"/>
      </w:pPr>
      <w:r>
        <w:rPr>
          <w:b/>
          <w:bCs/>
        </w:rPr>
        <w:t>NOTE</w:t>
      </w:r>
      <w:r>
        <w:t xml:space="preserve">: The AUGF is </w:t>
      </w:r>
      <w:r w:rsidRPr="00FE07A0">
        <w:rPr>
          <w:b/>
          <w:bCs/>
        </w:rPr>
        <w:t>not</w:t>
      </w:r>
      <w:r>
        <w:t xml:space="preserve"> an indication that TDA has reviewed and approved the entire Environmental Review Record for the project. </w:t>
      </w:r>
    </w:p>
    <w:p w14:paraId="1F72F270" w14:textId="77777777" w:rsidR="006667B2" w:rsidRPr="0000274B" w:rsidRDefault="006667B2" w:rsidP="00BE795B"/>
    <w:p w14:paraId="17CB760D" w14:textId="77777777" w:rsidR="006667B2" w:rsidRDefault="006667B2" w:rsidP="00AE17BC">
      <w:pPr>
        <w:pStyle w:val="Header"/>
        <w:rPr>
          <w:rFonts w:cs="Arial"/>
        </w:rPr>
      </w:pPr>
    </w:p>
    <w:p w14:paraId="737C8F82" w14:textId="77777777" w:rsidR="006667B2" w:rsidRPr="00165B46" w:rsidRDefault="006667B2" w:rsidP="00BE795B">
      <w:pPr>
        <w:pStyle w:val="Heading2"/>
      </w:pPr>
      <w:bookmarkStart w:id="45" w:name="_Toc123110436"/>
      <w:bookmarkStart w:id="46" w:name="_Toc171783655"/>
      <w:r>
        <w:t xml:space="preserve">3.1.8 </w:t>
      </w:r>
      <w:r w:rsidRPr="00FE07A0">
        <w:t>Step 8</w:t>
      </w:r>
      <w:r>
        <w:t xml:space="preserve">. </w:t>
      </w:r>
      <w:r w:rsidRPr="00FE07A0">
        <w:t>State’s Post-Release Review</w:t>
      </w:r>
      <w:bookmarkEnd w:id="45"/>
      <w:bookmarkEnd w:id="46"/>
    </w:p>
    <w:p w14:paraId="0C9A76AD" w14:textId="77777777" w:rsidR="006667B2" w:rsidRDefault="006667B2" w:rsidP="00AE17BC">
      <w:pPr>
        <w:pStyle w:val="CDBGBODYSTYLE"/>
        <w:spacing w:line="240" w:lineRule="auto"/>
      </w:pPr>
    </w:p>
    <w:p w14:paraId="1CC7757C" w14:textId="05F653BA" w:rsidR="006667B2" w:rsidRPr="00F24AFB" w:rsidRDefault="006667B2" w:rsidP="00AE17BC">
      <w:pPr>
        <w:pStyle w:val="CDBGBODYSTYLE"/>
        <w:spacing w:line="240" w:lineRule="auto"/>
      </w:pPr>
      <w:r w:rsidRPr="00F24AFB">
        <w:t xml:space="preserve">Following the Authorization to Use Grant Funds, TDA will conduct a post-release monitoring review in accordance with 24 CFR </w:t>
      </w:r>
      <w:r>
        <w:t>§</w:t>
      </w:r>
      <w:r w:rsidRPr="00F24AFB">
        <w:t>58.18.</w:t>
      </w:r>
      <w:r>
        <w:t xml:space="preserve"> </w:t>
      </w:r>
      <w:r w:rsidRPr="00F24AFB">
        <w:t xml:space="preserve">This review may occur at any time after the release of funds and prior to the closeout of the </w:t>
      </w:r>
      <w:r w:rsidR="005540D8">
        <w:t>Grant Agreement</w:t>
      </w:r>
      <w:r w:rsidRPr="00F24AFB">
        <w:t>.</w:t>
      </w:r>
      <w:r>
        <w:t xml:space="preserve"> </w:t>
      </w:r>
      <w:r w:rsidRPr="00F24AFB">
        <w:t xml:space="preserve">TDA </w:t>
      </w:r>
      <w:r>
        <w:t xml:space="preserve">may request support documentation for selected requirements or the full ERR. </w:t>
      </w:r>
    </w:p>
    <w:p w14:paraId="2AF2D716" w14:textId="77777777" w:rsidR="006667B2" w:rsidRPr="00444571" w:rsidRDefault="006667B2" w:rsidP="00AE17BC">
      <w:pPr>
        <w:pStyle w:val="Header"/>
        <w:rPr>
          <w:rFonts w:cs="Arial"/>
          <w:b/>
          <w:szCs w:val="22"/>
        </w:rPr>
      </w:pPr>
    </w:p>
    <w:p w14:paraId="413233F2" w14:textId="6B7531A4" w:rsidR="006667B2" w:rsidRDefault="006667B2" w:rsidP="00AE17BC">
      <w:pPr>
        <w:pStyle w:val="CDBGBODYSTYLE"/>
        <w:spacing w:line="240" w:lineRule="auto"/>
      </w:pPr>
      <w:r>
        <w:t xml:space="preserve">If TDA determines that the Grant Recipient’s environmental review was inadequate or incorrect, the </w:t>
      </w:r>
      <w:r w:rsidRPr="00C80B3B">
        <w:t>Environmental Specialist will provide</w:t>
      </w:r>
      <w:r>
        <w:t xml:space="preserve"> technical assistance and guidance for corrections, which may include</w:t>
      </w:r>
      <w:r w:rsidR="000402B0">
        <w:t xml:space="preserve"> the following:</w:t>
      </w:r>
    </w:p>
    <w:p w14:paraId="3DFF934C" w14:textId="6A7EEA3D" w:rsidR="006667B2" w:rsidRDefault="00E12025" w:rsidP="00AE17BC">
      <w:pPr>
        <w:pStyle w:val="CDBGBULLETSTYLE"/>
        <w:spacing w:line="240" w:lineRule="auto"/>
        <w:ind w:left="720"/>
        <w:jc w:val="both"/>
      </w:pPr>
      <w:r>
        <w:t>A</w:t>
      </w:r>
      <w:r w:rsidR="006667B2">
        <w:t>dditional support documentation or clarification</w:t>
      </w:r>
      <w:r w:rsidR="000402B0">
        <w:t>,</w:t>
      </w:r>
    </w:p>
    <w:p w14:paraId="10C28FEC" w14:textId="78A3EEE2" w:rsidR="006667B2" w:rsidRDefault="00E12025" w:rsidP="00AE17BC">
      <w:pPr>
        <w:pStyle w:val="CDBGBULLETSTYLE"/>
        <w:spacing w:line="240" w:lineRule="auto"/>
        <w:ind w:left="720"/>
        <w:jc w:val="both"/>
      </w:pPr>
      <w:r>
        <w:t>A</w:t>
      </w:r>
      <w:r w:rsidR="006667B2">
        <w:t xml:space="preserve"> finding of non-compliance</w:t>
      </w:r>
      <w:r w:rsidR="000402B0">
        <w:t>,</w:t>
      </w:r>
      <w:r w:rsidR="006667B2">
        <w:t xml:space="preserve"> </w:t>
      </w:r>
    </w:p>
    <w:p w14:paraId="131804E3" w14:textId="3C7C5F35" w:rsidR="006667B2" w:rsidRDefault="00E12025" w:rsidP="00AE17BC">
      <w:pPr>
        <w:pStyle w:val="CDBGBULLETSTYLE"/>
        <w:spacing w:line="240" w:lineRule="auto"/>
        <w:ind w:left="720"/>
        <w:jc w:val="both"/>
      </w:pPr>
      <w:r>
        <w:t>A</w:t>
      </w:r>
      <w:r w:rsidR="006667B2">
        <w:t xml:space="preserve"> hold on grant funding until all issues are resolved</w:t>
      </w:r>
      <w:r w:rsidR="000402B0">
        <w:t>,</w:t>
      </w:r>
    </w:p>
    <w:p w14:paraId="1B803C21" w14:textId="1D69A2C6" w:rsidR="006667B2" w:rsidRDefault="00E12025" w:rsidP="00AE17BC">
      <w:pPr>
        <w:pStyle w:val="CDBGBULLETSTYLE"/>
        <w:spacing w:line="240" w:lineRule="auto"/>
        <w:ind w:left="720"/>
        <w:jc w:val="both"/>
      </w:pPr>
      <w:r>
        <w:t>R</w:t>
      </w:r>
      <w:r w:rsidR="006667B2">
        <w:t>equirements to conduct a new Environmental Review that complies with all requirements</w:t>
      </w:r>
      <w:r w:rsidR="000402B0">
        <w:t>,</w:t>
      </w:r>
      <w:r w:rsidR="006667B2">
        <w:t xml:space="preserve"> and/or</w:t>
      </w:r>
    </w:p>
    <w:p w14:paraId="218F724A" w14:textId="294D56CA" w:rsidR="006667B2" w:rsidRDefault="00E12025" w:rsidP="00AE17BC">
      <w:pPr>
        <w:pStyle w:val="CDBGBULLETSTYLE"/>
        <w:spacing w:line="240" w:lineRule="auto"/>
        <w:ind w:left="720"/>
        <w:jc w:val="both"/>
      </w:pPr>
      <w:r>
        <w:t>D</w:t>
      </w:r>
      <w:r w:rsidR="006667B2">
        <w:t>isallowed costs for serious findings involving statutory or regulatory requirements that cannot be remediated.</w:t>
      </w:r>
    </w:p>
    <w:p w14:paraId="7494A045" w14:textId="77777777" w:rsidR="007D4379" w:rsidRDefault="007D4379" w:rsidP="007D4379">
      <w:pPr>
        <w:pStyle w:val="CDBGBULLETSTYLE"/>
        <w:numPr>
          <w:ilvl w:val="0"/>
          <w:numId w:val="0"/>
        </w:numPr>
        <w:spacing w:line="240" w:lineRule="auto"/>
        <w:ind w:left="360"/>
        <w:jc w:val="both"/>
      </w:pPr>
    </w:p>
    <w:p w14:paraId="0B7AE8C4" w14:textId="77777777" w:rsidR="007D4379" w:rsidRDefault="007D4379" w:rsidP="007D4379">
      <w:pPr>
        <w:pStyle w:val="CDBGBULLETSTYLE"/>
        <w:numPr>
          <w:ilvl w:val="0"/>
          <w:numId w:val="0"/>
        </w:numPr>
        <w:spacing w:line="240" w:lineRule="auto"/>
        <w:ind w:left="360"/>
        <w:jc w:val="both"/>
      </w:pPr>
    </w:p>
    <w:p w14:paraId="4BFBDD28" w14:textId="2D5E4F2F" w:rsidR="006667B2" w:rsidRPr="00165B46" w:rsidRDefault="006667B2" w:rsidP="00BE795B">
      <w:pPr>
        <w:pStyle w:val="Heading2"/>
      </w:pPr>
      <w:bookmarkStart w:id="47" w:name="_Toc123110437"/>
      <w:bookmarkStart w:id="48" w:name="_Toc171783656"/>
      <w:r>
        <w:t xml:space="preserve">3.1.9 </w:t>
      </w:r>
      <w:r w:rsidRPr="00822316">
        <w:t>Step 9</w:t>
      </w:r>
      <w:r>
        <w:t xml:space="preserve">. </w:t>
      </w:r>
      <w:r w:rsidRPr="00822316">
        <w:t>Re-Evaluation of the Environment</w:t>
      </w:r>
      <w:r w:rsidRPr="00861A47">
        <w:t>al Determination and Subsequent Amendment Procedure</w:t>
      </w:r>
      <w:bookmarkEnd w:id="47"/>
      <w:bookmarkEnd w:id="48"/>
    </w:p>
    <w:p w14:paraId="186012E9" w14:textId="77777777" w:rsidR="006667B2" w:rsidRDefault="006667B2" w:rsidP="00AE17BC"/>
    <w:p w14:paraId="265E6CCC" w14:textId="7077937A" w:rsidR="00A047D5" w:rsidRPr="007E5785" w:rsidRDefault="00025C84" w:rsidP="00AE17BC">
      <w:pPr>
        <w:pStyle w:val="CDBGBODYSTYLE"/>
        <w:spacing w:line="240" w:lineRule="auto"/>
        <w:rPr>
          <w:color w:val="2F5496" w:themeColor="accent1" w:themeShade="BF"/>
        </w:rPr>
      </w:pPr>
      <w:r>
        <w:t>T</w:t>
      </w:r>
      <w:r w:rsidR="006667B2" w:rsidRPr="0049775B">
        <w:t xml:space="preserve">he environmental determination must be re-evaluated any time that the </w:t>
      </w:r>
      <w:r w:rsidR="006667B2">
        <w:t>Grant Recipient</w:t>
      </w:r>
      <w:r w:rsidR="006667B2" w:rsidRPr="0049775B">
        <w:t xml:space="preserve"> </w:t>
      </w:r>
      <w:r w:rsidR="006667B2" w:rsidRPr="00487E3D">
        <w:rPr>
          <w:b/>
          <w:bCs/>
        </w:rPr>
        <w:t>proposes substantial changes in the nature, magnitude, or extent of the project.</w:t>
      </w:r>
      <w:r>
        <w:rPr>
          <w:rStyle w:val="FootnoteReference"/>
          <w:b/>
          <w:bCs/>
        </w:rPr>
        <w:footnoteReference w:id="17"/>
      </w:r>
      <w:r w:rsidR="006667B2">
        <w:t xml:space="preserve"> </w:t>
      </w:r>
      <w:r w:rsidR="006667B2" w:rsidRPr="0049775B">
        <w:t xml:space="preserve">The re-evaluation assists in determining whether the original determination and/or finding are still valid. </w:t>
      </w:r>
      <w:r w:rsidR="00A047D5" w:rsidRPr="007E5785">
        <w:rPr>
          <w:rStyle w:val="ui-provider"/>
          <w:color w:val="2F5496" w:themeColor="accent1" w:themeShade="BF"/>
        </w:rPr>
        <w:t xml:space="preserve">Grant Recipients are responsible for self-reporting to TDA suspected re-evaluation violations should a non-cleared activity be </w:t>
      </w:r>
      <w:proofErr w:type="gramStart"/>
      <w:r w:rsidR="00A047D5" w:rsidRPr="007E5785">
        <w:rPr>
          <w:rStyle w:val="ui-provider"/>
          <w:color w:val="2F5496" w:themeColor="accent1" w:themeShade="BF"/>
        </w:rPr>
        <w:t>taken</w:t>
      </w:r>
      <w:proofErr w:type="gramEnd"/>
      <w:r w:rsidR="00A047D5" w:rsidRPr="007E5785">
        <w:rPr>
          <w:rStyle w:val="ui-provider"/>
          <w:color w:val="2F5496" w:themeColor="accent1" w:themeShade="BF"/>
        </w:rPr>
        <w:t xml:space="preserve"> or non-cleared location impacted prior to conducting a re-evaluation or prior to receiving an additional AUGF if an updated FONSI is required.</w:t>
      </w:r>
    </w:p>
    <w:p w14:paraId="3530B370" w14:textId="77777777" w:rsidR="00A047D5" w:rsidRDefault="00A047D5" w:rsidP="00AE17BC">
      <w:pPr>
        <w:pStyle w:val="CDBGBODYSTYLE"/>
        <w:spacing w:line="240" w:lineRule="auto"/>
      </w:pPr>
    </w:p>
    <w:p w14:paraId="38C24425" w14:textId="46834667" w:rsidR="006667B2" w:rsidRDefault="006667B2" w:rsidP="00AE17BC">
      <w:pPr>
        <w:pStyle w:val="CDBGBODYSTYLE"/>
        <w:spacing w:line="240" w:lineRule="auto"/>
      </w:pPr>
      <w:r w:rsidRPr="0049775B">
        <w:t xml:space="preserve">Project amendments that </w:t>
      </w:r>
      <w:r w:rsidRPr="000F3772">
        <w:rPr>
          <w:b/>
        </w:rPr>
        <w:t>may</w:t>
      </w:r>
      <w:r w:rsidRPr="0049775B">
        <w:t xml:space="preserve"> result in the need for an updated FONSI include</w:t>
      </w:r>
      <w:r>
        <w:t>—but are not limited to</w:t>
      </w:r>
      <w:r w:rsidRPr="0049775B">
        <w:t>:</w:t>
      </w:r>
    </w:p>
    <w:p w14:paraId="7619A022" w14:textId="77777777" w:rsidR="009D2BCC" w:rsidRPr="0049775B" w:rsidRDefault="009D2BCC" w:rsidP="00AE17BC">
      <w:pPr>
        <w:pStyle w:val="CDBGBODYSTYLE"/>
        <w:spacing w:line="240" w:lineRule="auto"/>
      </w:pPr>
    </w:p>
    <w:p w14:paraId="0FBD0E92" w14:textId="77777777" w:rsidR="006667B2" w:rsidRPr="00822316" w:rsidRDefault="006667B2" w:rsidP="00AE17BC">
      <w:pPr>
        <w:pStyle w:val="CDBGBULLETSTYLE"/>
        <w:spacing w:line="240" w:lineRule="auto"/>
        <w:ind w:left="720" w:right="-144"/>
        <w:jc w:val="both"/>
      </w:pPr>
      <w:r w:rsidRPr="00822316">
        <w:t xml:space="preserve">Any change in </w:t>
      </w:r>
      <w:r>
        <w:t>project scope.</w:t>
      </w:r>
    </w:p>
    <w:p w14:paraId="62E4A352" w14:textId="77777777" w:rsidR="006667B2" w:rsidRPr="0049775B" w:rsidRDefault="006667B2" w:rsidP="00AE17BC">
      <w:pPr>
        <w:pStyle w:val="CDBGBULLETSTYLE"/>
        <w:numPr>
          <w:ilvl w:val="0"/>
          <w:numId w:val="0"/>
        </w:numPr>
        <w:spacing w:line="240" w:lineRule="auto"/>
        <w:ind w:left="810" w:right="-144" w:hanging="90"/>
        <w:jc w:val="both"/>
      </w:pPr>
      <w:r>
        <w:rPr>
          <w:b/>
          <w:bCs/>
        </w:rPr>
        <w:t>EXAMPLE</w:t>
      </w:r>
      <w:r w:rsidRPr="00822316">
        <w:rPr>
          <w:b/>
          <w:bCs/>
        </w:rPr>
        <w:t>:</w:t>
      </w:r>
      <w:r>
        <w:t xml:space="preserve"> </w:t>
      </w:r>
      <w:r w:rsidRPr="0049775B">
        <w:t>Adding water line improvements to a sewer line improvement project</w:t>
      </w:r>
      <w:r>
        <w:t>.</w:t>
      </w:r>
    </w:p>
    <w:p w14:paraId="785A680A" w14:textId="77777777" w:rsidR="006667B2" w:rsidRPr="0049775B" w:rsidRDefault="006667B2" w:rsidP="00A017EB">
      <w:pPr>
        <w:pStyle w:val="CDBGBULLETSTYLE"/>
        <w:numPr>
          <w:ilvl w:val="0"/>
          <w:numId w:val="0"/>
        </w:numPr>
        <w:spacing w:line="276" w:lineRule="auto"/>
        <w:ind w:left="810" w:right="-144" w:hanging="90"/>
        <w:jc w:val="both"/>
      </w:pPr>
      <w:r>
        <w:rPr>
          <w:b/>
          <w:bCs/>
        </w:rPr>
        <w:t>EXAMPLE</w:t>
      </w:r>
      <w:r w:rsidRPr="00822316">
        <w:rPr>
          <w:b/>
          <w:bCs/>
        </w:rPr>
        <w:t>:</w:t>
      </w:r>
      <w:r>
        <w:t xml:space="preserve"> </w:t>
      </w:r>
      <w:r w:rsidRPr="0049775B">
        <w:t>Adding sewer plant improvements to a sewer line improvement project</w:t>
      </w:r>
      <w:r>
        <w:t>.</w:t>
      </w:r>
    </w:p>
    <w:p w14:paraId="3F562D03" w14:textId="77777777" w:rsidR="006667B2" w:rsidRPr="00822316" w:rsidRDefault="006667B2" w:rsidP="00AE17BC">
      <w:pPr>
        <w:pStyle w:val="CDBGBULLETSTYLE"/>
        <w:spacing w:line="240" w:lineRule="auto"/>
        <w:ind w:left="720" w:right="-144"/>
        <w:jc w:val="both"/>
      </w:pPr>
      <w:r w:rsidRPr="00822316">
        <w:t xml:space="preserve">Any </w:t>
      </w:r>
      <w:r w:rsidRPr="00822316">
        <w:rPr>
          <w:b/>
          <w:bCs/>
        </w:rPr>
        <w:t>new</w:t>
      </w:r>
      <w:r w:rsidRPr="00822316">
        <w:t xml:space="preserve"> project location not addressed in the original review</w:t>
      </w:r>
      <w:r>
        <w:t>.</w:t>
      </w:r>
    </w:p>
    <w:p w14:paraId="68099CC9" w14:textId="77777777" w:rsidR="006667B2" w:rsidRPr="0049775B" w:rsidRDefault="006667B2" w:rsidP="00AE17BC">
      <w:pPr>
        <w:pStyle w:val="CDBGBULLETSTYLE"/>
        <w:numPr>
          <w:ilvl w:val="0"/>
          <w:numId w:val="0"/>
        </w:numPr>
        <w:spacing w:line="240" w:lineRule="auto"/>
        <w:ind w:left="810" w:right="-144" w:hanging="90"/>
        <w:jc w:val="both"/>
      </w:pPr>
      <w:r>
        <w:rPr>
          <w:b/>
          <w:bCs/>
        </w:rPr>
        <w:t>EXAMPLE</w:t>
      </w:r>
      <w:r w:rsidRPr="00822316">
        <w:rPr>
          <w:b/>
          <w:bCs/>
        </w:rPr>
        <w:t>:</w:t>
      </w:r>
      <w:r>
        <w:t xml:space="preserve"> </w:t>
      </w:r>
      <w:r w:rsidRPr="0049775B">
        <w:t xml:space="preserve">Adding additional streets to a street </w:t>
      </w:r>
      <w:r>
        <w:t>reconstruction</w:t>
      </w:r>
      <w:r w:rsidRPr="0049775B">
        <w:t xml:space="preserve"> project</w:t>
      </w:r>
      <w:r>
        <w:t>.</w:t>
      </w:r>
    </w:p>
    <w:p w14:paraId="53D0BCE9" w14:textId="77777777" w:rsidR="006667B2" w:rsidRDefault="006667B2" w:rsidP="00A017EB">
      <w:pPr>
        <w:pStyle w:val="CDBGBULLETSTYLE"/>
        <w:numPr>
          <w:ilvl w:val="0"/>
          <w:numId w:val="0"/>
        </w:numPr>
        <w:spacing w:line="276" w:lineRule="auto"/>
        <w:ind w:left="810" w:right="-144" w:hanging="90"/>
        <w:jc w:val="both"/>
      </w:pPr>
      <w:r>
        <w:rPr>
          <w:b/>
          <w:bCs/>
        </w:rPr>
        <w:t>EXAMPLE</w:t>
      </w:r>
      <w:r w:rsidRPr="00822316">
        <w:rPr>
          <w:b/>
          <w:bCs/>
        </w:rPr>
        <w:t>:</w:t>
      </w:r>
      <w:r>
        <w:t xml:space="preserve"> </w:t>
      </w:r>
      <w:r w:rsidRPr="0049775B">
        <w:t>Changing the location of a proposed water tower</w:t>
      </w:r>
      <w:r>
        <w:t>.</w:t>
      </w:r>
    </w:p>
    <w:p w14:paraId="09EC1415" w14:textId="77777777" w:rsidR="006667B2" w:rsidRPr="0049775B" w:rsidRDefault="006667B2" w:rsidP="00A017EB">
      <w:pPr>
        <w:pStyle w:val="CDBGBULLETSTYLE"/>
        <w:spacing w:line="276" w:lineRule="auto"/>
        <w:ind w:left="720" w:right="-144"/>
        <w:jc w:val="both"/>
      </w:pPr>
      <w:r w:rsidRPr="0049775B">
        <w:t xml:space="preserve">An </w:t>
      </w:r>
      <w:r w:rsidRPr="00822316">
        <w:rPr>
          <w:b/>
          <w:bCs/>
        </w:rPr>
        <w:t>increase</w:t>
      </w:r>
      <w:r w:rsidRPr="0049775B">
        <w:t xml:space="preserve"> in infrastructure capacity of more than 20%</w:t>
      </w:r>
      <w:r>
        <w:t>.</w:t>
      </w:r>
    </w:p>
    <w:p w14:paraId="4E10E4FC" w14:textId="53A2F6A2" w:rsidR="006667B2" w:rsidRPr="0049775B" w:rsidRDefault="006667B2" w:rsidP="00AE17BC">
      <w:pPr>
        <w:pStyle w:val="CDBGBULLETSTYLE"/>
        <w:numPr>
          <w:ilvl w:val="0"/>
          <w:numId w:val="0"/>
        </w:numPr>
        <w:spacing w:line="240" w:lineRule="auto"/>
        <w:ind w:firstLine="720"/>
        <w:jc w:val="both"/>
      </w:pPr>
      <w:r>
        <w:rPr>
          <w:b/>
          <w:bCs/>
        </w:rPr>
        <w:t>EXAMPLE</w:t>
      </w:r>
      <w:r w:rsidRPr="00822316">
        <w:rPr>
          <w:b/>
          <w:bCs/>
        </w:rPr>
        <w:t>:</w:t>
      </w:r>
      <w:r>
        <w:t xml:space="preserve"> </w:t>
      </w:r>
      <w:r w:rsidRPr="0049775B">
        <w:t xml:space="preserve">Increasing </w:t>
      </w:r>
      <w:proofErr w:type="gramStart"/>
      <w:r w:rsidRPr="0049775B">
        <w:t>a proposed</w:t>
      </w:r>
      <w:proofErr w:type="gramEnd"/>
      <w:r w:rsidRPr="0049775B">
        <w:t xml:space="preserve"> water storage tank from 100,000 gallons to</w:t>
      </w:r>
      <w:r>
        <w:t xml:space="preserve"> </w:t>
      </w:r>
      <w:r w:rsidRPr="0049775B">
        <w:t>150,000</w:t>
      </w:r>
      <w:r w:rsidR="00025C84">
        <w:t xml:space="preserve"> </w:t>
      </w:r>
      <w:r w:rsidRPr="0049775B">
        <w:t>gallons</w:t>
      </w:r>
      <w:r>
        <w:t>.</w:t>
      </w:r>
    </w:p>
    <w:p w14:paraId="792D77C0" w14:textId="77777777" w:rsidR="006667B2" w:rsidRPr="0049775B" w:rsidRDefault="006667B2" w:rsidP="00A017EB">
      <w:pPr>
        <w:pStyle w:val="CDBGBULLETSTYLE"/>
        <w:numPr>
          <w:ilvl w:val="0"/>
          <w:numId w:val="0"/>
        </w:numPr>
        <w:spacing w:line="276" w:lineRule="auto"/>
        <w:ind w:left="810" w:right="-144" w:hanging="90"/>
        <w:jc w:val="both"/>
      </w:pPr>
      <w:r>
        <w:rPr>
          <w:b/>
          <w:bCs/>
        </w:rPr>
        <w:t>EXAMPLE</w:t>
      </w:r>
      <w:r w:rsidRPr="00822316">
        <w:rPr>
          <w:b/>
          <w:bCs/>
        </w:rPr>
        <w:t>:</w:t>
      </w:r>
      <w:r>
        <w:t xml:space="preserve"> </w:t>
      </w:r>
      <w:r w:rsidRPr="0049775B">
        <w:t>Adding traffic lanes to widen a street</w:t>
      </w:r>
      <w:r>
        <w:t>.</w:t>
      </w:r>
    </w:p>
    <w:p w14:paraId="605809A4" w14:textId="77777777" w:rsidR="006667B2" w:rsidRPr="0049775B" w:rsidRDefault="006667B2" w:rsidP="00A017EB">
      <w:pPr>
        <w:pStyle w:val="CDBGBULLETSTYLE"/>
        <w:spacing w:line="276" w:lineRule="auto"/>
        <w:ind w:left="720" w:right="-144"/>
        <w:jc w:val="both"/>
      </w:pPr>
      <w:r w:rsidRPr="0049775B">
        <w:t xml:space="preserve">A </w:t>
      </w:r>
      <w:r w:rsidRPr="00822316">
        <w:rPr>
          <w:b/>
          <w:bCs/>
        </w:rPr>
        <w:t>change</w:t>
      </w:r>
      <w:r w:rsidRPr="0049775B">
        <w:t xml:space="preserve"> in method or design that impacts the physical environment</w:t>
      </w:r>
      <w:r>
        <w:t>.</w:t>
      </w:r>
    </w:p>
    <w:p w14:paraId="65984BA3" w14:textId="2DDC7434" w:rsidR="006667B2" w:rsidRPr="00822316" w:rsidRDefault="006667B2" w:rsidP="00AE17BC">
      <w:pPr>
        <w:pStyle w:val="CDBGBULLETSTYLE"/>
        <w:numPr>
          <w:ilvl w:val="0"/>
          <w:numId w:val="0"/>
        </w:numPr>
        <w:spacing w:line="240" w:lineRule="auto"/>
        <w:ind w:left="810" w:right="-414" w:hanging="90"/>
        <w:jc w:val="both"/>
      </w:pPr>
      <w:r>
        <w:rPr>
          <w:b/>
          <w:bCs/>
        </w:rPr>
        <w:t>EXAMPLE</w:t>
      </w:r>
      <w:r w:rsidRPr="00822316">
        <w:rPr>
          <w:b/>
          <w:bCs/>
        </w:rPr>
        <w:t>:</w:t>
      </w:r>
      <w:r>
        <w:t xml:space="preserve"> </w:t>
      </w:r>
      <w:r w:rsidRPr="00822316">
        <w:t>Adding lift stations not previously proposed to a sewer line improvement</w:t>
      </w:r>
      <w:r w:rsidR="00025C84">
        <w:t xml:space="preserve"> </w:t>
      </w:r>
      <w:r w:rsidRPr="00822316">
        <w:t>project</w:t>
      </w:r>
      <w:r>
        <w:t>.</w:t>
      </w:r>
    </w:p>
    <w:p w14:paraId="2D3D28E9" w14:textId="689D20BE" w:rsidR="006667B2" w:rsidRPr="00822316" w:rsidRDefault="006667B2" w:rsidP="00A017EB">
      <w:pPr>
        <w:pStyle w:val="CDBGBULLETSTYLE"/>
        <w:numPr>
          <w:ilvl w:val="0"/>
          <w:numId w:val="0"/>
        </w:numPr>
        <w:spacing w:line="276" w:lineRule="auto"/>
        <w:ind w:left="720"/>
        <w:jc w:val="both"/>
      </w:pPr>
      <w:r>
        <w:rPr>
          <w:b/>
          <w:bCs/>
        </w:rPr>
        <w:t>EXAMPLE</w:t>
      </w:r>
      <w:r w:rsidRPr="00822316">
        <w:rPr>
          <w:b/>
          <w:bCs/>
        </w:rPr>
        <w:t>:</w:t>
      </w:r>
      <w:r>
        <w:t xml:space="preserve"> </w:t>
      </w:r>
      <w:r w:rsidRPr="00822316">
        <w:t>Adding fire hydrants to a water line improvement project where none had been</w:t>
      </w:r>
      <w:r w:rsidR="00025C84">
        <w:t xml:space="preserve"> </w:t>
      </w:r>
      <w:r w:rsidRPr="00822316">
        <w:t>proposed</w:t>
      </w:r>
      <w:r>
        <w:t>.</w:t>
      </w:r>
    </w:p>
    <w:p w14:paraId="1E572F6A" w14:textId="77777777" w:rsidR="006667B2" w:rsidRDefault="006667B2" w:rsidP="00A017EB">
      <w:pPr>
        <w:pStyle w:val="CDBGBULLETSTYLE"/>
        <w:spacing w:line="276" w:lineRule="auto"/>
        <w:ind w:right="-144"/>
        <w:jc w:val="both"/>
      </w:pPr>
      <w:r w:rsidRPr="00822316">
        <w:t xml:space="preserve">A </w:t>
      </w:r>
      <w:r w:rsidRPr="00822316">
        <w:rPr>
          <w:b/>
          <w:bCs/>
        </w:rPr>
        <w:t>change</w:t>
      </w:r>
      <w:r w:rsidRPr="00822316">
        <w:t xml:space="preserve"> to accommodate new circumstances and</w:t>
      </w:r>
      <w:r>
        <w:t>/or</w:t>
      </w:r>
      <w:r w:rsidRPr="00822316">
        <w:t xml:space="preserve"> environmental conditions that have </w:t>
      </w:r>
    </w:p>
    <w:p w14:paraId="11C2B4E6" w14:textId="77777777" w:rsidR="006667B2" w:rsidRPr="00822316" w:rsidRDefault="006667B2" w:rsidP="00AE17BC">
      <w:pPr>
        <w:pStyle w:val="CDBGBULLETSTYLE"/>
        <w:numPr>
          <w:ilvl w:val="0"/>
          <w:numId w:val="0"/>
        </w:numPr>
        <w:spacing w:line="240" w:lineRule="auto"/>
        <w:ind w:left="810" w:right="-144"/>
        <w:jc w:val="both"/>
      </w:pPr>
      <w:r w:rsidRPr="00822316">
        <w:t>arisen during project implementation</w:t>
      </w:r>
      <w:r>
        <w:t>.</w:t>
      </w:r>
    </w:p>
    <w:p w14:paraId="75A2A8A7" w14:textId="77777777" w:rsidR="006667B2" w:rsidRPr="0049775B" w:rsidRDefault="006667B2" w:rsidP="00AE17BC">
      <w:pPr>
        <w:pStyle w:val="CDBGBULLETSTYLE"/>
        <w:numPr>
          <w:ilvl w:val="0"/>
          <w:numId w:val="0"/>
        </w:numPr>
        <w:spacing w:line="240" w:lineRule="auto"/>
        <w:ind w:left="810" w:right="-144" w:hanging="90"/>
        <w:jc w:val="both"/>
      </w:pPr>
      <w:r>
        <w:rPr>
          <w:b/>
          <w:bCs/>
        </w:rPr>
        <w:t>EXAMPLE</w:t>
      </w:r>
      <w:r w:rsidRPr="00822316">
        <w:rPr>
          <w:b/>
          <w:bCs/>
        </w:rPr>
        <w:t>:</w:t>
      </w:r>
      <w:r>
        <w:t xml:space="preserve"> </w:t>
      </w:r>
      <w:r w:rsidRPr="0049775B">
        <w:t>Addressing damage caused by a natural disaster</w:t>
      </w:r>
      <w:r>
        <w:t>.</w:t>
      </w:r>
    </w:p>
    <w:p w14:paraId="7C2D0B58" w14:textId="77777777" w:rsidR="006667B2" w:rsidRDefault="006667B2" w:rsidP="00AE17BC">
      <w:pPr>
        <w:pStyle w:val="CDBGBULLETSTYLE"/>
        <w:numPr>
          <w:ilvl w:val="0"/>
          <w:numId w:val="0"/>
        </w:numPr>
        <w:spacing w:line="240" w:lineRule="auto"/>
        <w:ind w:left="810" w:right="-144" w:hanging="90"/>
        <w:jc w:val="both"/>
      </w:pPr>
      <w:r>
        <w:rPr>
          <w:b/>
          <w:bCs/>
        </w:rPr>
        <w:t>EXAMPLE</w:t>
      </w:r>
      <w:r w:rsidRPr="00822316">
        <w:rPr>
          <w:b/>
          <w:bCs/>
        </w:rPr>
        <w:t>:</w:t>
      </w:r>
      <w:r>
        <w:t xml:space="preserve"> </w:t>
      </w:r>
      <w:r w:rsidRPr="0049775B">
        <w:t>Changing strategies from rehabilitation of a building to reconstruction or</w:t>
      </w:r>
      <w:r>
        <w:t xml:space="preserve"> </w:t>
      </w:r>
    </w:p>
    <w:p w14:paraId="671938C3" w14:textId="6EFE0C69" w:rsidR="006667B2" w:rsidRPr="0049775B" w:rsidRDefault="006667B2" w:rsidP="00AE17BC">
      <w:pPr>
        <w:pStyle w:val="CDBGBULLETSTYLE"/>
        <w:numPr>
          <w:ilvl w:val="0"/>
          <w:numId w:val="0"/>
        </w:numPr>
        <w:spacing w:line="240" w:lineRule="auto"/>
        <w:ind w:left="810" w:right="-144" w:hanging="360"/>
        <w:jc w:val="both"/>
      </w:pPr>
      <w:r w:rsidRPr="0049775B">
        <w:t xml:space="preserve">expansion </w:t>
      </w:r>
      <w:proofErr w:type="gramStart"/>
      <w:r w:rsidRPr="0049775B">
        <w:t>as a result of</w:t>
      </w:r>
      <w:proofErr w:type="gramEnd"/>
      <w:r w:rsidRPr="0049775B">
        <w:t xml:space="preserve"> the actual building conditions</w:t>
      </w:r>
      <w:r>
        <w:t>.</w:t>
      </w:r>
    </w:p>
    <w:p w14:paraId="4DA36C2D" w14:textId="77777777" w:rsidR="006667B2" w:rsidRPr="0049775B" w:rsidRDefault="006667B2" w:rsidP="00AE17BC">
      <w:pPr>
        <w:rPr>
          <w:rFonts w:cs="Arial"/>
          <w:szCs w:val="22"/>
        </w:rPr>
      </w:pPr>
    </w:p>
    <w:p w14:paraId="1179E44D" w14:textId="77777777" w:rsidR="006667B2" w:rsidRPr="00FF1786" w:rsidRDefault="006667B2" w:rsidP="00FF1786">
      <w:pPr>
        <w:rPr>
          <w:b/>
          <w:bCs/>
        </w:rPr>
      </w:pPr>
      <w:r w:rsidRPr="00FF1786">
        <w:rPr>
          <w:b/>
          <w:bCs/>
        </w:rPr>
        <w:t>Re-Evaluation of the Finding by the Grant Recipient</w:t>
      </w:r>
    </w:p>
    <w:p w14:paraId="0C380B4F" w14:textId="77777777" w:rsidR="006667B2" w:rsidRDefault="006667B2" w:rsidP="00AE17BC">
      <w:pPr>
        <w:pStyle w:val="CDBGBODYSTYLE"/>
        <w:spacing w:line="240" w:lineRule="auto"/>
      </w:pPr>
      <w:r w:rsidRPr="00154FD8">
        <w:t>Any</w:t>
      </w:r>
      <w:r w:rsidRPr="00175F70">
        <w:t xml:space="preserve"> project changes that </w:t>
      </w:r>
      <w:r w:rsidRPr="00181B2A">
        <w:t>were</w:t>
      </w:r>
      <w:r w:rsidRPr="00175F70">
        <w:t xml:space="preserve"> addressed by the original </w:t>
      </w:r>
      <w:r>
        <w:t>Environmental Review</w:t>
      </w:r>
      <w:r w:rsidRPr="00175F70">
        <w:t xml:space="preserve"> </w:t>
      </w:r>
      <w:r>
        <w:t xml:space="preserve">will likely not require additional clearance requirements, including notices. </w:t>
      </w:r>
    </w:p>
    <w:p w14:paraId="5D16850D" w14:textId="26E64248" w:rsidR="006667B2" w:rsidRPr="00FB39EA" w:rsidRDefault="006667B2" w:rsidP="00AE17BC">
      <w:pPr>
        <w:pStyle w:val="CDBGBULLETSTYLE"/>
        <w:spacing w:line="240" w:lineRule="auto"/>
        <w:ind w:left="720"/>
        <w:jc w:val="both"/>
      </w:pPr>
      <w:r w:rsidRPr="00154FD8">
        <w:t xml:space="preserve">The Grant Recipient should clearly document that the changes are not substantial and that the EA/FONSI or Categorical Exclusion/Exempt determination are still valid after </w:t>
      </w:r>
      <w:r w:rsidR="006C7169">
        <w:t xml:space="preserve">each </w:t>
      </w:r>
      <w:r w:rsidRPr="00154FD8">
        <w:t xml:space="preserve">re-evaluation. The </w:t>
      </w:r>
      <w:r>
        <w:t>Environmental Review</w:t>
      </w:r>
      <w:r w:rsidRPr="00154FD8">
        <w:t xml:space="preserve"> Record </w:t>
      </w:r>
      <w:r w:rsidRPr="00FB39EA">
        <w:t xml:space="preserve">should be updated with any new project locations, etc.  </w:t>
      </w:r>
    </w:p>
    <w:p w14:paraId="286AD6BF" w14:textId="1842787E" w:rsidR="0000550F" w:rsidRPr="00FB39EA" w:rsidRDefault="006667B2" w:rsidP="00AE17BC">
      <w:pPr>
        <w:pStyle w:val="CDBGBULLETSTYLE"/>
        <w:spacing w:line="240" w:lineRule="auto"/>
        <w:ind w:left="720"/>
        <w:jc w:val="both"/>
      </w:pPr>
      <w:r w:rsidRPr="00FB39EA">
        <w:t xml:space="preserve">Documentation </w:t>
      </w:r>
      <w:r w:rsidR="006C7169" w:rsidRPr="00FB39EA">
        <w:t>for</w:t>
      </w:r>
      <w:r w:rsidR="0000550F" w:rsidRPr="00FB39EA">
        <w:t xml:space="preserve"> </w:t>
      </w:r>
      <w:r w:rsidR="006C7169" w:rsidRPr="00FB39EA">
        <w:t>each</w:t>
      </w:r>
      <w:r w:rsidR="00551C4A" w:rsidRPr="00FB39EA">
        <w:t xml:space="preserve"> </w:t>
      </w:r>
      <w:r w:rsidRPr="00FB39EA">
        <w:t>re</w:t>
      </w:r>
      <w:r w:rsidR="006C7169" w:rsidRPr="00FB39EA">
        <w:t>-</w:t>
      </w:r>
      <w:r w:rsidRPr="00FB39EA">
        <w:t xml:space="preserve">evaluation must be recorded in TDA-GO </w:t>
      </w:r>
      <w:r w:rsidR="00622D8D" w:rsidRPr="00FB39EA">
        <w:t>using</w:t>
      </w:r>
      <w:r w:rsidRPr="00FB39EA">
        <w:t xml:space="preserve"> the </w:t>
      </w:r>
      <w:r w:rsidRPr="00FB39EA">
        <w:rPr>
          <w:i/>
          <w:iCs/>
        </w:rPr>
        <w:t>Environmental Review - Re-evaluation</w:t>
      </w:r>
      <w:r w:rsidR="00622D8D" w:rsidRPr="00FB39EA">
        <w:t xml:space="preserve"> page</w:t>
      </w:r>
      <w:r w:rsidRPr="00FB39EA">
        <w:t xml:space="preserve">, located within the existing </w:t>
      </w:r>
      <w:r w:rsidRPr="00FB39EA">
        <w:rPr>
          <w:i/>
          <w:iCs/>
        </w:rPr>
        <w:t xml:space="preserve">Environmental Review </w:t>
      </w:r>
      <w:r w:rsidR="006C7169" w:rsidRPr="00FB39EA">
        <w:rPr>
          <w:i/>
          <w:iCs/>
        </w:rPr>
        <w:t xml:space="preserve">Performance </w:t>
      </w:r>
      <w:r w:rsidRPr="00FB39EA">
        <w:rPr>
          <w:i/>
          <w:iCs/>
        </w:rPr>
        <w:t>Report</w:t>
      </w:r>
      <w:r w:rsidRPr="00FB39EA">
        <w:t xml:space="preserve">.  </w:t>
      </w:r>
      <w:r w:rsidR="00471710" w:rsidRPr="00FB39EA">
        <w:t>TDA recommends a hard copy of the re-evaluation page for each amendment be printed and kept, along with supporting source documentation, in local records.</w:t>
      </w:r>
    </w:p>
    <w:p w14:paraId="183EBA39" w14:textId="77777777" w:rsidR="006667B2" w:rsidRDefault="006667B2" w:rsidP="00AE17BC">
      <w:pPr>
        <w:pStyle w:val="CDBGBULLETSTYLE"/>
        <w:spacing w:line="240" w:lineRule="auto"/>
        <w:ind w:left="720"/>
        <w:jc w:val="both"/>
      </w:pPr>
      <w:r>
        <w:t xml:space="preserve">A </w:t>
      </w:r>
      <w:r w:rsidRPr="00154FD8">
        <w:t xml:space="preserve">separate letter is not required unless additional information is requested. </w:t>
      </w:r>
    </w:p>
    <w:p w14:paraId="387D2224" w14:textId="77777777" w:rsidR="006667B2" w:rsidRDefault="006667B2" w:rsidP="00BE795B"/>
    <w:p w14:paraId="1B18843C" w14:textId="1D57361E" w:rsidR="006667B2" w:rsidRDefault="006667B2" w:rsidP="00AE17BC">
      <w:pPr>
        <w:pStyle w:val="1CDGBbodyArial11"/>
        <w:spacing w:line="240" w:lineRule="auto"/>
      </w:pPr>
      <w:r w:rsidRPr="00154FD8">
        <w:t xml:space="preserve">If the </w:t>
      </w:r>
      <w:r w:rsidRPr="00670E19">
        <w:t xml:space="preserve">Environmental Specialist has concerns regarding the proposed changes to the </w:t>
      </w:r>
      <w:r w:rsidR="005540D8">
        <w:t>Grant Agreement</w:t>
      </w:r>
      <w:r w:rsidRPr="00670E19">
        <w:t xml:space="preserve">, </w:t>
      </w:r>
      <w:r w:rsidR="00BA6804">
        <w:t xml:space="preserve">TDA staff will contact </w:t>
      </w:r>
      <w:r w:rsidRPr="00670E19">
        <w:t xml:space="preserve">the Grant Recipient and administrative consultant </w:t>
      </w:r>
      <w:r w:rsidRPr="00AC24A5">
        <w:t xml:space="preserve">to discuss the concerns.  </w:t>
      </w:r>
    </w:p>
    <w:p w14:paraId="1695C558" w14:textId="77777777" w:rsidR="006667B2" w:rsidRDefault="006667B2" w:rsidP="00AE17BC">
      <w:pPr>
        <w:pStyle w:val="CDBGBODYSTYLE"/>
        <w:spacing w:line="240" w:lineRule="auto"/>
      </w:pPr>
    </w:p>
    <w:p w14:paraId="0AC088C1" w14:textId="56E68576" w:rsidR="006667B2" w:rsidRDefault="006667B2" w:rsidP="00AE17BC">
      <w:pPr>
        <w:pStyle w:val="CDBGBODYSTYLE"/>
        <w:spacing w:line="240" w:lineRule="auto"/>
      </w:pPr>
      <w:r w:rsidRPr="0049775B">
        <w:t xml:space="preserve">If the proposed project amendment is </w:t>
      </w:r>
      <w:r>
        <w:t xml:space="preserve">a change in scope or activity and is </w:t>
      </w:r>
      <w:r w:rsidRPr="00B102D3">
        <w:rPr>
          <w:b/>
          <w:bCs/>
        </w:rPr>
        <w:t>not</w:t>
      </w:r>
      <w:r>
        <w:t xml:space="preserve"> covered by the original Environmental Review,</w:t>
      </w:r>
      <w:r w:rsidRPr="0049775B">
        <w:t xml:space="preserve"> then the </w:t>
      </w:r>
      <w:r w:rsidR="000B5237">
        <w:t>Grant Recipient</w:t>
      </w:r>
      <w:r w:rsidR="00622D8D">
        <w:t xml:space="preserve"> </w:t>
      </w:r>
      <w:r>
        <w:t xml:space="preserve">must start at the beginning of the process, including a new Environmental Review, public notices, public comment and objection periods, and new release of funds by TDA. </w:t>
      </w:r>
    </w:p>
    <w:p w14:paraId="174B080B" w14:textId="77777777" w:rsidR="006667B2" w:rsidRPr="0049775B" w:rsidRDefault="006667B2" w:rsidP="00AE17BC">
      <w:pPr>
        <w:pStyle w:val="CDBGBODYSTYLE"/>
        <w:spacing w:line="240" w:lineRule="auto"/>
      </w:pPr>
    </w:p>
    <w:p w14:paraId="34803CC1" w14:textId="22C73021" w:rsidR="006667B2" w:rsidRDefault="006667B2" w:rsidP="00AE17BC">
      <w:pPr>
        <w:pStyle w:val="1CDGBbodyArial11"/>
        <w:spacing w:line="240" w:lineRule="auto"/>
      </w:pPr>
      <w:r>
        <w:t>TDA</w:t>
      </w:r>
      <w:r w:rsidRPr="0049775B">
        <w:t xml:space="preserve"> recommend</w:t>
      </w:r>
      <w:r>
        <w:t xml:space="preserve">s </w:t>
      </w:r>
      <w:r w:rsidRPr="0049775B">
        <w:t xml:space="preserve">that the </w:t>
      </w:r>
      <w:r>
        <w:t>Grant Recipient</w:t>
      </w:r>
      <w:r w:rsidRPr="0049775B">
        <w:t xml:space="preserve"> include any anticipated alternatives </w:t>
      </w:r>
      <w:r>
        <w:t xml:space="preserve">(including additive alternatives) </w:t>
      </w:r>
      <w:r w:rsidRPr="0049775B">
        <w:t xml:space="preserve">to the original project in the original </w:t>
      </w:r>
      <w:r>
        <w:t>Environmental Review</w:t>
      </w:r>
      <w:r w:rsidRPr="0049775B">
        <w:t xml:space="preserve">. </w:t>
      </w:r>
      <w:r>
        <w:t>TDA</w:t>
      </w:r>
      <w:r w:rsidRPr="0049775B">
        <w:t xml:space="preserve"> also recommend</w:t>
      </w:r>
      <w:r>
        <w:t>s</w:t>
      </w:r>
      <w:r w:rsidRPr="0049775B">
        <w:t xml:space="preserve"> if a construction bid is substantially less</w:t>
      </w:r>
      <w:r>
        <w:t xml:space="preserve"> </w:t>
      </w:r>
      <w:r w:rsidRPr="0049775B">
        <w:t>than anticipated and additional construction funds will be available</w:t>
      </w:r>
      <w:r>
        <w:t>,</w:t>
      </w:r>
      <w:r w:rsidRPr="0049775B">
        <w:t xml:space="preserve"> that the </w:t>
      </w:r>
      <w:r>
        <w:t>Grant Recipient</w:t>
      </w:r>
      <w:r w:rsidRPr="0049775B">
        <w:t xml:space="preserve"> begi</w:t>
      </w:r>
      <w:r>
        <w:t xml:space="preserve">ns the request for a grant amendment </w:t>
      </w:r>
      <w:r w:rsidRPr="0049775B">
        <w:t>as soon as possible. Thus</w:t>
      </w:r>
      <w:r>
        <w:t>,</w:t>
      </w:r>
      <w:r w:rsidRPr="0049775B">
        <w:t xml:space="preserve"> in the event the amendment is</w:t>
      </w:r>
      <w:r>
        <w:t xml:space="preserve"> </w:t>
      </w:r>
      <w:r w:rsidRPr="0049775B">
        <w:t xml:space="preserve">approved, and </w:t>
      </w:r>
      <w:r>
        <w:t xml:space="preserve">a new or re-evaluated </w:t>
      </w:r>
      <w:r w:rsidRPr="0049775B">
        <w:t>environmental clearance is obtained, administrative requirements will not delay construction.</w:t>
      </w:r>
      <w:r>
        <w:t xml:space="preserve"> </w:t>
      </w:r>
    </w:p>
    <w:p w14:paraId="51D13AC4" w14:textId="77777777" w:rsidR="006667B2" w:rsidRDefault="006667B2" w:rsidP="00AE17BC">
      <w:pPr>
        <w:rPr>
          <w:rFonts w:cs="Arial"/>
          <w:szCs w:val="22"/>
        </w:rPr>
      </w:pPr>
    </w:p>
    <w:p w14:paraId="159E3C72" w14:textId="77777777" w:rsidR="007D4379" w:rsidRPr="0049775B" w:rsidRDefault="007D4379" w:rsidP="00AE17BC">
      <w:pPr>
        <w:rPr>
          <w:rFonts w:cs="Arial"/>
          <w:szCs w:val="22"/>
        </w:rPr>
      </w:pPr>
    </w:p>
    <w:p w14:paraId="62C84E30" w14:textId="77777777" w:rsidR="006667B2" w:rsidRDefault="006667B2" w:rsidP="001F52AB">
      <w:pPr>
        <w:pStyle w:val="Heading5"/>
      </w:pPr>
      <w:bookmarkStart w:id="49" w:name="_Toc123110438"/>
      <w:bookmarkStart w:id="50" w:name="_Toc171783657"/>
      <w:r>
        <w:t xml:space="preserve">3.2 </w:t>
      </w:r>
      <w:r w:rsidRPr="001F52AB">
        <w:t>Environmental</w:t>
      </w:r>
      <w:r>
        <w:t xml:space="preserve"> Laws and Regulations</w:t>
      </w:r>
      <w:bookmarkEnd w:id="49"/>
      <w:bookmarkEnd w:id="50"/>
    </w:p>
    <w:p w14:paraId="396C713D" w14:textId="77777777" w:rsidR="006667B2" w:rsidRDefault="006667B2" w:rsidP="00AE17BC">
      <w:pPr>
        <w:rPr>
          <w:rFonts w:cs="Arial"/>
          <w:szCs w:val="22"/>
        </w:rPr>
      </w:pPr>
    </w:p>
    <w:p w14:paraId="1040F6EC" w14:textId="77777777" w:rsidR="006667B2" w:rsidRPr="00FE451D" w:rsidRDefault="006667B2" w:rsidP="00AE17BC">
      <w:pPr>
        <w:pStyle w:val="1CDGBbodyArial11"/>
        <w:spacing w:line="240" w:lineRule="auto"/>
      </w:pPr>
      <w:r w:rsidRPr="00FE451D">
        <w:t xml:space="preserve">The following provisions of law authorize state governments to assume HUD's </w:t>
      </w:r>
      <w:r>
        <w:t>Environmental Review</w:t>
      </w:r>
      <w:r w:rsidRPr="00FE451D">
        <w:t xml:space="preserve"> responsibilities. TDA will act for HUD for </w:t>
      </w:r>
      <w:r>
        <w:t>Environmental Review</w:t>
      </w:r>
      <w:r w:rsidRPr="00FE451D">
        <w:t>s, decision-making, and action that would otherwise apply to HUD under</w:t>
      </w:r>
      <w:r>
        <w:t xml:space="preserve"> the National Environmental Policy Act (“</w:t>
      </w:r>
      <w:r w:rsidRPr="00FE451D">
        <w:t>NEPA</w:t>
      </w:r>
      <w:r>
        <w:t>”)</w:t>
      </w:r>
      <w:r w:rsidRPr="00FE451D">
        <w:t xml:space="preserve"> and other provisions of laws that further the purposes of NEPA, as specified in 24 CFR Part 58. These regulations are referenced in 24 CFR </w:t>
      </w:r>
      <w:r>
        <w:t>§</w:t>
      </w:r>
      <w:r w:rsidRPr="00FE451D">
        <w:t>58.1(b).</w:t>
      </w:r>
    </w:p>
    <w:p w14:paraId="274D7355" w14:textId="77777777" w:rsidR="006667B2" w:rsidRPr="00207531" w:rsidRDefault="006667B2" w:rsidP="00AE17BC">
      <w:pPr>
        <w:rPr>
          <w:rFonts w:cs="Arial"/>
          <w:szCs w:val="22"/>
        </w:rPr>
      </w:pPr>
    </w:p>
    <w:p w14:paraId="614E552D" w14:textId="77777777" w:rsidR="006667B2" w:rsidRDefault="006667B2" w:rsidP="001F52AB">
      <w:pPr>
        <w:pStyle w:val="Heading2"/>
      </w:pPr>
      <w:bookmarkStart w:id="51" w:name="_Toc123110439"/>
      <w:bookmarkStart w:id="52" w:name="_Toc171783658"/>
      <w:r w:rsidRPr="006A3254">
        <w:t>3.2.1 Laws</w:t>
      </w:r>
      <w:bookmarkEnd w:id="51"/>
      <w:bookmarkEnd w:id="52"/>
    </w:p>
    <w:p w14:paraId="15267C43" w14:textId="77777777" w:rsidR="006667B2" w:rsidRPr="006A3254" w:rsidRDefault="006667B2" w:rsidP="00AE17BC">
      <w:pPr>
        <w:pStyle w:val="CDBGBODYSTYLE"/>
        <w:spacing w:line="240" w:lineRule="auto"/>
      </w:pPr>
    </w:p>
    <w:p w14:paraId="0079D2D0" w14:textId="4AD91F32" w:rsidR="006667B2" w:rsidRPr="00207531" w:rsidRDefault="006667B2" w:rsidP="00AE17BC">
      <w:pPr>
        <w:pStyle w:val="CDBGBODYSTYLE"/>
        <w:spacing w:line="240" w:lineRule="auto"/>
      </w:pPr>
      <w:r w:rsidRPr="00207531">
        <w:t xml:space="preserve">The foremost </w:t>
      </w:r>
      <w:r>
        <w:t>e</w:t>
      </w:r>
      <w:r w:rsidRPr="00207531">
        <w:t xml:space="preserve">nvironmental law is NEPA and implementing </w:t>
      </w:r>
      <w:r w:rsidR="008B669F" w:rsidRPr="008B669F">
        <w:rPr>
          <w:bCs/>
        </w:rPr>
        <w:t>Executive Order 11514</w:t>
      </w:r>
      <w:r w:rsidRPr="00207531">
        <w:t xml:space="preserve"> (35 FR 4247, 3 CFR, 1966-1970 Comp., p. 902)</w:t>
      </w:r>
      <w:r>
        <w:t>,</w:t>
      </w:r>
      <w:r w:rsidRPr="00207531">
        <w:t xml:space="preserve"> as amended by </w:t>
      </w:r>
      <w:r w:rsidR="008B669F" w:rsidRPr="008B669F">
        <w:rPr>
          <w:bCs/>
        </w:rPr>
        <w:t>Executive Order 11991</w:t>
      </w:r>
      <w:r w:rsidRPr="00207531">
        <w:t xml:space="preserve"> and the implementing regulations of the </w:t>
      </w:r>
      <w:r w:rsidR="008B669F" w:rsidRPr="008B669F">
        <w:rPr>
          <w:bCs/>
        </w:rPr>
        <w:t>Council on Environmental Quality</w:t>
      </w:r>
      <w:r w:rsidRPr="00207531">
        <w:t xml:space="preserve"> (40 CFR </w:t>
      </w:r>
      <w:r>
        <w:t>P</w:t>
      </w:r>
      <w:r w:rsidRPr="00207531">
        <w:t>arts 1500-1508). This is not an all-inclusive list</w:t>
      </w:r>
      <w:r>
        <w:t>—</w:t>
      </w:r>
      <w:r w:rsidRPr="00207531">
        <w:t xml:space="preserve">as projects can cross over into other laws and authorities not listed here.  </w:t>
      </w:r>
    </w:p>
    <w:p w14:paraId="5C991914" w14:textId="77777777" w:rsidR="006667B2" w:rsidRPr="00207531" w:rsidRDefault="006667B2" w:rsidP="00AE17BC">
      <w:pPr>
        <w:rPr>
          <w:rFonts w:cs="Arial"/>
          <w:szCs w:val="22"/>
        </w:rPr>
      </w:pPr>
    </w:p>
    <w:p w14:paraId="7863F1D9" w14:textId="77777777" w:rsidR="006667B2" w:rsidRPr="002655B0" w:rsidRDefault="006667B2" w:rsidP="00AE17BC">
      <w:pPr>
        <w:rPr>
          <w:bCs/>
        </w:rPr>
      </w:pPr>
      <w:r w:rsidRPr="000B5237">
        <w:rPr>
          <w:b/>
          <w:bCs/>
        </w:rPr>
        <w:t xml:space="preserve">NEPA  </w:t>
      </w:r>
    </w:p>
    <w:p w14:paraId="5F94A987" w14:textId="0AFB8E8F" w:rsidR="0019663A" w:rsidRDefault="006667B2" w:rsidP="00AE17BC">
      <w:pPr>
        <w:pStyle w:val="CDBGBODYSTYLE"/>
        <w:spacing w:line="240" w:lineRule="auto"/>
      </w:pPr>
      <w:r w:rsidRPr="00FE451D">
        <w:rPr>
          <w:b/>
          <w:bCs/>
        </w:rPr>
        <w:t>42 U</w:t>
      </w:r>
      <w:r w:rsidR="0019663A">
        <w:rPr>
          <w:b/>
          <w:bCs/>
        </w:rPr>
        <w:t>.</w:t>
      </w:r>
      <w:r w:rsidRPr="00FE451D">
        <w:rPr>
          <w:b/>
          <w:bCs/>
        </w:rPr>
        <w:t>S</w:t>
      </w:r>
      <w:r w:rsidR="0019663A">
        <w:rPr>
          <w:b/>
          <w:bCs/>
        </w:rPr>
        <w:t>.</w:t>
      </w:r>
      <w:r w:rsidRPr="00FE451D">
        <w:rPr>
          <w:b/>
          <w:bCs/>
        </w:rPr>
        <w:t>C</w:t>
      </w:r>
      <w:r w:rsidR="0019663A">
        <w:rPr>
          <w:b/>
          <w:bCs/>
        </w:rPr>
        <w:t>.</w:t>
      </w:r>
      <w:r w:rsidRPr="00FE451D">
        <w:rPr>
          <w:b/>
          <w:bCs/>
        </w:rPr>
        <w:t xml:space="preserve"> §4321 </w:t>
      </w:r>
      <w:r>
        <w:t xml:space="preserve">– </w:t>
      </w:r>
      <w:r w:rsidRPr="00207531">
        <w:t>The purposes of this Act are</w:t>
      </w:r>
      <w:r>
        <w:t xml:space="preserve"> t</w:t>
      </w:r>
      <w:r w:rsidRPr="00207531">
        <w:t>o declare a national policy</w:t>
      </w:r>
      <w:r w:rsidR="000402B0">
        <w:t>,</w:t>
      </w:r>
      <w:r w:rsidRPr="00207531">
        <w:t xml:space="preserve"> which will encourage productive and enjoyable harmony between man and his environment; to promote efforts which will prevent or eliminate damage to the environment and biosphere and stimulate the health and welfare of man; to enrich the understanding of the ecological systems and natural resources </w:t>
      </w:r>
      <w:r w:rsidRPr="001422FD">
        <w:t xml:space="preserve">important to the </w:t>
      </w:r>
      <w:r>
        <w:t>n</w:t>
      </w:r>
      <w:r w:rsidRPr="001422FD">
        <w:t>ation; and to establish a Council on Environmental Quality.</w:t>
      </w:r>
    </w:p>
    <w:p w14:paraId="7DAF85C8" w14:textId="77777777" w:rsidR="0019663A" w:rsidRDefault="0019663A" w:rsidP="00AE17BC">
      <w:pPr>
        <w:pStyle w:val="CDBGBODYSTYLE"/>
        <w:spacing w:line="240" w:lineRule="auto"/>
      </w:pPr>
    </w:p>
    <w:p w14:paraId="7B7E3A95" w14:textId="7F3D9777" w:rsidR="007E5785" w:rsidRPr="007E5785" w:rsidRDefault="007E5785" w:rsidP="007E5785">
      <w:pPr>
        <w:rPr>
          <w:b/>
          <w:bCs/>
          <w:color w:val="2F5496" w:themeColor="accent1" w:themeShade="BF"/>
        </w:rPr>
      </w:pPr>
      <w:r w:rsidRPr="007E5785">
        <w:rPr>
          <w:b/>
          <w:bCs/>
          <w:color w:val="2F5496" w:themeColor="accent1" w:themeShade="BF"/>
        </w:rPr>
        <w:t>Housing and Community Development Act</w:t>
      </w:r>
      <w:r w:rsidRPr="007E5785">
        <w:rPr>
          <w:b/>
          <w:bCs/>
          <w:color w:val="2F5496" w:themeColor="accent1" w:themeShade="BF"/>
        </w:rPr>
        <w:t xml:space="preserve">, </w:t>
      </w:r>
      <w:r w:rsidRPr="007E5785">
        <w:rPr>
          <w:b/>
          <w:bCs/>
          <w:color w:val="2F5496" w:themeColor="accent1" w:themeShade="BF"/>
        </w:rPr>
        <w:t xml:space="preserve">Section 104 (g) </w:t>
      </w:r>
    </w:p>
    <w:p w14:paraId="1BF760EB" w14:textId="2FF8042B" w:rsidR="007E5785" w:rsidRPr="007E5785" w:rsidRDefault="007E5785" w:rsidP="007E5785">
      <w:pPr>
        <w:rPr>
          <w:rFonts w:cs="Arial"/>
          <w:color w:val="2F5496" w:themeColor="accent1" w:themeShade="BF"/>
          <w:sz w:val="20"/>
          <w:szCs w:val="20"/>
        </w:rPr>
      </w:pPr>
      <w:r w:rsidRPr="007E5785">
        <w:rPr>
          <w:b/>
          <w:bCs/>
          <w:color w:val="2F5496" w:themeColor="accent1" w:themeShade="BF"/>
        </w:rPr>
        <w:t>42 U.S.C. §5304</w:t>
      </w:r>
      <w:r w:rsidRPr="007E5785">
        <w:rPr>
          <w:rFonts w:ascii="Segoe UI" w:hAnsi="Segoe UI" w:cs="Segoe UI"/>
          <w:b/>
          <w:bCs/>
          <w:color w:val="2F5496" w:themeColor="accent1" w:themeShade="BF"/>
          <w:sz w:val="18"/>
          <w:szCs w:val="18"/>
        </w:rPr>
        <w:t xml:space="preserve"> </w:t>
      </w:r>
      <w:r w:rsidR="007D4379">
        <w:rPr>
          <w:rFonts w:ascii="Segoe UI" w:hAnsi="Segoe UI" w:cs="Segoe UI"/>
          <w:color w:val="2F5496" w:themeColor="accent1" w:themeShade="BF"/>
          <w:sz w:val="18"/>
          <w:szCs w:val="18"/>
        </w:rPr>
        <w:t>–</w:t>
      </w:r>
      <w:r w:rsidRPr="007E5785">
        <w:rPr>
          <w:rFonts w:ascii="Segoe UI" w:hAnsi="Segoe UI" w:cs="Segoe UI"/>
          <w:color w:val="2F5496" w:themeColor="accent1" w:themeShade="BF"/>
          <w:sz w:val="18"/>
          <w:szCs w:val="18"/>
        </w:rPr>
        <w:t xml:space="preserve"> </w:t>
      </w:r>
      <w:r w:rsidRPr="007E5785">
        <w:rPr>
          <w:rFonts w:cs="Arial"/>
          <w:color w:val="2F5496" w:themeColor="accent1" w:themeShade="BF"/>
          <w:szCs w:val="22"/>
        </w:rPr>
        <w:t>In order to assure that the policies of the National Environmental Policy Act of 1969 and other provisions of law which further the purposes of such Act (as specified in regulations issued by the Secretary) are most effectively implemented in connection with the expenditure of funds under this title, and to assure to the public undiminished protection of the environment, the Secretary, in lieu of the environmental protection procedures otherwise applicable, may under regulations</w:t>
      </w:r>
      <w:r w:rsidRPr="007E5785">
        <w:rPr>
          <w:rFonts w:cs="Arial"/>
          <w:color w:val="2F5496" w:themeColor="accent1" w:themeShade="BF"/>
          <w:szCs w:val="22"/>
        </w:rPr>
        <w:t xml:space="preserve"> </w:t>
      </w:r>
      <w:r w:rsidRPr="007E5785">
        <w:rPr>
          <w:rFonts w:cs="Arial"/>
          <w:color w:val="2F5496" w:themeColor="accent1" w:themeShade="BF"/>
          <w:szCs w:val="22"/>
        </w:rPr>
        <w:t>provide for the release of funds for particular projects to recipients of assistance under this title who assume all of the responsibilities for environmental review, decision-making, and action pursuant to such Act,</w:t>
      </w:r>
      <w:r w:rsidRPr="007E5785">
        <w:rPr>
          <w:rFonts w:cs="Arial"/>
          <w:color w:val="2F5496" w:themeColor="accent1" w:themeShade="BF"/>
          <w:szCs w:val="22"/>
        </w:rPr>
        <w:t xml:space="preserve"> </w:t>
      </w:r>
      <w:r w:rsidRPr="007E5785">
        <w:rPr>
          <w:rFonts w:cs="Arial"/>
          <w:color w:val="2F5496" w:themeColor="accent1" w:themeShade="BF"/>
          <w:szCs w:val="22"/>
        </w:rPr>
        <w:t>and such other provisions of law as the regulations of the Secretary specify, that would apply to the Secretary were he to undertake such projects as Federal projects.</w:t>
      </w:r>
    </w:p>
    <w:p w14:paraId="0398295C" w14:textId="77777777" w:rsidR="007E5785" w:rsidRDefault="007E5785" w:rsidP="00AE17BC">
      <w:pPr>
        <w:rPr>
          <w:b/>
          <w:bCs/>
        </w:rPr>
      </w:pPr>
    </w:p>
    <w:p w14:paraId="5366CD68" w14:textId="52C8FCD4" w:rsidR="006667B2" w:rsidRPr="002655B0" w:rsidRDefault="006667B2" w:rsidP="00AE17BC">
      <w:pPr>
        <w:rPr>
          <w:bCs/>
        </w:rPr>
      </w:pPr>
      <w:r w:rsidRPr="000B5237">
        <w:rPr>
          <w:b/>
          <w:bCs/>
        </w:rPr>
        <w:t>Executive Order 11514</w:t>
      </w:r>
    </w:p>
    <w:p w14:paraId="29E2F91B" w14:textId="77777777" w:rsidR="006667B2" w:rsidRPr="001422FD" w:rsidRDefault="006667B2" w:rsidP="00AE17BC">
      <w:pPr>
        <w:pStyle w:val="CDBGBODYSTYLE"/>
        <w:spacing w:line="240" w:lineRule="auto"/>
      </w:pPr>
      <w:r w:rsidRPr="001422FD">
        <w:t>Protection and Enhancement of Environmental Quality</w:t>
      </w:r>
    </w:p>
    <w:p w14:paraId="037B50FC" w14:textId="77777777" w:rsidR="006667B2" w:rsidRPr="00207531" w:rsidRDefault="006667B2" w:rsidP="00AE17BC">
      <w:pPr>
        <w:rPr>
          <w:rFonts w:cs="Arial"/>
          <w:szCs w:val="22"/>
        </w:rPr>
      </w:pPr>
    </w:p>
    <w:p w14:paraId="2CDE94A9" w14:textId="77777777" w:rsidR="006667B2" w:rsidRPr="002655B0" w:rsidRDefault="006667B2" w:rsidP="00AE17BC">
      <w:pPr>
        <w:rPr>
          <w:bCs/>
        </w:rPr>
      </w:pPr>
      <w:r w:rsidRPr="000B5237">
        <w:rPr>
          <w:b/>
          <w:bCs/>
        </w:rPr>
        <w:t>Executive Order 11991</w:t>
      </w:r>
    </w:p>
    <w:p w14:paraId="71F9EB50" w14:textId="77777777" w:rsidR="006667B2" w:rsidRPr="001422FD" w:rsidRDefault="006667B2" w:rsidP="00AE17BC">
      <w:pPr>
        <w:pStyle w:val="CDBGBODYSTYLE"/>
        <w:spacing w:line="240" w:lineRule="auto"/>
      </w:pPr>
      <w:r w:rsidRPr="001422FD">
        <w:t xml:space="preserve">Relating to Protection and Enhancement of Environmental Quality </w:t>
      </w:r>
    </w:p>
    <w:p w14:paraId="1BC546B0" w14:textId="77777777" w:rsidR="006667B2" w:rsidRDefault="006667B2" w:rsidP="00AE17BC">
      <w:pPr>
        <w:pStyle w:val="CDBGBODYSTYLE"/>
        <w:spacing w:line="240" w:lineRule="auto"/>
      </w:pPr>
    </w:p>
    <w:p w14:paraId="7A3593B1" w14:textId="77777777" w:rsidR="006667B2" w:rsidRPr="002655B0" w:rsidRDefault="006667B2" w:rsidP="00AE17BC">
      <w:pPr>
        <w:rPr>
          <w:bCs/>
        </w:rPr>
      </w:pPr>
      <w:r w:rsidRPr="000B5237">
        <w:rPr>
          <w:b/>
          <w:bCs/>
        </w:rPr>
        <w:t xml:space="preserve">Historic Preservation Requirements: </w:t>
      </w:r>
    </w:p>
    <w:p w14:paraId="746FF19F" w14:textId="743209D0" w:rsidR="006667B2" w:rsidRPr="001422FD" w:rsidRDefault="006667B2" w:rsidP="00AE17BC">
      <w:pPr>
        <w:pStyle w:val="CDBGBULLETSTYLE"/>
        <w:spacing w:line="240" w:lineRule="auto"/>
        <w:jc w:val="both"/>
      </w:pPr>
      <w:r w:rsidRPr="001422FD">
        <w:t xml:space="preserve">National Historic Preservation Act of 1966, 54 USC </w:t>
      </w:r>
      <w:r w:rsidR="000402B0">
        <w:t>§§</w:t>
      </w:r>
      <w:r w:rsidRPr="001422FD">
        <w:t xml:space="preserve">300101 </w:t>
      </w:r>
      <w:r w:rsidRPr="008B669F">
        <w:rPr>
          <w:i/>
          <w:iCs/>
        </w:rPr>
        <w:t>et seq</w:t>
      </w:r>
      <w:r w:rsidRPr="001422FD">
        <w:t>.</w:t>
      </w:r>
    </w:p>
    <w:p w14:paraId="05955893" w14:textId="1A64F4D2" w:rsidR="006667B2" w:rsidRPr="001422FD" w:rsidRDefault="006667B2" w:rsidP="00AE17BC">
      <w:pPr>
        <w:pStyle w:val="CDBGBULLETSTYLE"/>
        <w:spacing w:line="240" w:lineRule="auto"/>
        <w:jc w:val="both"/>
      </w:pPr>
      <w:r w:rsidRPr="001422FD">
        <w:t xml:space="preserve">Archeological and Historic Data Preservation Act of 1974, 54 USC </w:t>
      </w:r>
      <w:r w:rsidR="000402B0">
        <w:t>§§</w:t>
      </w:r>
      <w:r w:rsidRPr="001422FD">
        <w:t>312501-312508</w:t>
      </w:r>
      <w:r>
        <w:t>.</w:t>
      </w:r>
    </w:p>
    <w:p w14:paraId="4D73C3F6" w14:textId="28D8AF05" w:rsidR="006667B2" w:rsidRPr="001422FD" w:rsidRDefault="006667B2" w:rsidP="00AE17BC">
      <w:pPr>
        <w:pStyle w:val="CDBGBULLETSTYLE"/>
        <w:spacing w:line="240" w:lineRule="auto"/>
        <w:jc w:val="both"/>
      </w:pPr>
      <w:r w:rsidRPr="001422FD">
        <w:t xml:space="preserve">Executive Order </w:t>
      </w:r>
      <w:r w:rsidR="000402B0">
        <w:t xml:space="preserve">No. </w:t>
      </w:r>
      <w:r w:rsidRPr="001422FD">
        <w:t>11593, Protection and Enhancement of the Cultural Environment</w:t>
      </w:r>
      <w:r>
        <w:t>.</w:t>
      </w:r>
    </w:p>
    <w:p w14:paraId="6D3195EC" w14:textId="77777777" w:rsidR="006667B2" w:rsidRPr="001422FD" w:rsidRDefault="006667B2" w:rsidP="00AE17BC">
      <w:pPr>
        <w:pStyle w:val="CDBGBULLETSTYLE"/>
        <w:spacing w:line="240" w:lineRule="auto"/>
        <w:jc w:val="both"/>
      </w:pPr>
      <w:r w:rsidRPr="001422FD">
        <w:t>Antiquities Code of Texas, Chapter 191</w:t>
      </w:r>
      <w:r>
        <w:t>, Texas</w:t>
      </w:r>
      <w:r w:rsidRPr="001422FD">
        <w:t xml:space="preserve"> Natural Resources Code</w:t>
      </w:r>
      <w:r>
        <w:t>.</w:t>
      </w:r>
    </w:p>
    <w:p w14:paraId="22516B9B" w14:textId="77777777" w:rsidR="006667B2" w:rsidRPr="001422FD" w:rsidRDefault="006667B2" w:rsidP="00AE17BC">
      <w:pPr>
        <w:pStyle w:val="CDBGBULLETSTYLE"/>
        <w:spacing w:line="240" w:lineRule="auto"/>
        <w:jc w:val="both"/>
      </w:pPr>
      <w:r w:rsidRPr="001422FD">
        <w:t xml:space="preserve">Tribal Consultation in Projects that are </w:t>
      </w:r>
      <w:r>
        <w:t>r</w:t>
      </w:r>
      <w:r w:rsidRPr="001422FD">
        <w:t>eviewed under 24 CFR Part 58</w:t>
      </w:r>
      <w:r>
        <w:t>.</w:t>
      </w:r>
    </w:p>
    <w:p w14:paraId="2899F04D" w14:textId="03F6D285" w:rsidR="006667B2" w:rsidRPr="001422FD" w:rsidRDefault="006667B2" w:rsidP="00AE17BC">
      <w:pPr>
        <w:pStyle w:val="CDBGBULLETSTYLE"/>
        <w:spacing w:line="240" w:lineRule="auto"/>
        <w:jc w:val="both"/>
      </w:pPr>
      <w:r w:rsidRPr="001422FD">
        <w:t xml:space="preserve">See </w:t>
      </w:r>
      <w:r w:rsidR="00FA2D28" w:rsidRPr="00FA2D28">
        <w:rPr>
          <w:i/>
          <w:iCs/>
        </w:rPr>
        <w:t xml:space="preserve">Appendix </w:t>
      </w:r>
      <w:r w:rsidRPr="00FA2D28">
        <w:rPr>
          <w:i/>
          <w:iCs/>
        </w:rPr>
        <w:t>A</w:t>
      </w:r>
      <w:r w:rsidRPr="001422FD">
        <w:t xml:space="preserve"> for web address/link. </w:t>
      </w:r>
    </w:p>
    <w:p w14:paraId="34A48F64" w14:textId="77777777" w:rsidR="006667B2" w:rsidRDefault="006667B2" w:rsidP="00AE17BC"/>
    <w:p w14:paraId="1A22C3A4" w14:textId="77777777" w:rsidR="006667B2" w:rsidRDefault="006667B2" w:rsidP="001F52AB">
      <w:pPr>
        <w:pStyle w:val="Heading2"/>
      </w:pPr>
      <w:bookmarkStart w:id="53" w:name="_Toc123110440"/>
      <w:bookmarkStart w:id="54" w:name="_Toc171783659"/>
      <w:r w:rsidRPr="006A3254">
        <w:t>3.2.2 Regulations</w:t>
      </w:r>
      <w:bookmarkEnd w:id="53"/>
      <w:bookmarkEnd w:id="54"/>
    </w:p>
    <w:p w14:paraId="42B822B3" w14:textId="77777777" w:rsidR="006667B2" w:rsidRPr="00B15AEB" w:rsidRDefault="006667B2" w:rsidP="00AE17BC">
      <w:pPr>
        <w:pStyle w:val="CDBGBODYSTYLE"/>
        <w:spacing w:line="240" w:lineRule="auto"/>
        <w:rPr>
          <w:b/>
          <w:bCs/>
        </w:rPr>
      </w:pPr>
    </w:p>
    <w:p w14:paraId="2D1808BE" w14:textId="77777777" w:rsidR="006667B2" w:rsidRPr="00B15AEB" w:rsidRDefault="00000000" w:rsidP="00AE17BC">
      <w:pPr>
        <w:pStyle w:val="CDBGBODYSTYLE"/>
        <w:spacing w:line="240" w:lineRule="auto"/>
        <w:rPr>
          <w:b/>
        </w:rPr>
      </w:pPr>
      <w:hyperlink r:id="rId17" w:history="1">
        <w:r w:rsidR="006667B2" w:rsidRPr="00B15AEB">
          <w:rPr>
            <w:b/>
          </w:rPr>
          <w:t>24 CFR Part 51</w:t>
        </w:r>
      </w:hyperlink>
      <w:r w:rsidR="006667B2" w:rsidRPr="00B15AEB">
        <w:rPr>
          <w:b/>
        </w:rPr>
        <w:t xml:space="preserve"> – Environmental Criteria and Standards</w:t>
      </w:r>
    </w:p>
    <w:p w14:paraId="0E142117" w14:textId="77777777" w:rsidR="006667B2" w:rsidRDefault="006667B2" w:rsidP="00AE17BC">
      <w:pPr>
        <w:pStyle w:val="CDBGBODYSTYLE"/>
        <w:spacing w:line="240" w:lineRule="auto"/>
      </w:pPr>
      <w:r w:rsidRPr="001422FD">
        <w:rPr>
          <w:b/>
          <w:bCs/>
        </w:rPr>
        <w:t>Description</w:t>
      </w:r>
      <w:r>
        <w:t xml:space="preserve"> – </w:t>
      </w:r>
      <w:r w:rsidRPr="001422FD">
        <w:t>Th</w:t>
      </w:r>
      <w:r>
        <w:t>ese</w:t>
      </w:r>
      <w:r w:rsidRPr="001422FD">
        <w:t xml:space="preserve"> regulation</w:t>
      </w:r>
      <w:r>
        <w:t>s</w:t>
      </w:r>
      <w:r w:rsidRPr="001422FD">
        <w:t xml:space="preserve"> provide environmental standards for determining project acceptability and necessary measures to ensure that activities assisted by HUD achieve the goal of a suitable living environment. The environmental criteria include noise abatement and control and the siting of HUD-assisted projects near hazardous operations including explosives, flammables, runway clear zones at civil airports, and accident potential zones at military airfields</w:t>
      </w:r>
      <w:r w:rsidRPr="00A170CD">
        <w:t>.</w:t>
      </w:r>
    </w:p>
    <w:p w14:paraId="35462E72" w14:textId="77777777" w:rsidR="006667B2" w:rsidRDefault="006667B2" w:rsidP="00AE17BC">
      <w:pPr>
        <w:rPr>
          <w:rFonts w:cs="Arial"/>
          <w:szCs w:val="22"/>
        </w:rPr>
      </w:pPr>
    </w:p>
    <w:p w14:paraId="6070A301" w14:textId="77777777" w:rsidR="006667B2" w:rsidRPr="00B15AEB" w:rsidRDefault="00000000" w:rsidP="00AE17BC">
      <w:pPr>
        <w:pStyle w:val="CDBGBODYSTYLE"/>
        <w:spacing w:line="240" w:lineRule="auto"/>
        <w:rPr>
          <w:b/>
          <w:bCs/>
        </w:rPr>
      </w:pPr>
      <w:hyperlink r:id="rId18" w:history="1">
        <w:r w:rsidR="006667B2" w:rsidRPr="00B15AEB">
          <w:rPr>
            <w:b/>
            <w:bCs/>
          </w:rPr>
          <w:t>24 CFR Part 55</w:t>
        </w:r>
      </w:hyperlink>
      <w:r w:rsidR="006667B2" w:rsidRPr="00B15AEB">
        <w:rPr>
          <w:b/>
          <w:bCs/>
        </w:rPr>
        <w:t xml:space="preserve"> – Floodplain Management and Protection of Wetlands</w:t>
      </w:r>
    </w:p>
    <w:p w14:paraId="5C2A442A" w14:textId="0EF789E1" w:rsidR="006667B2" w:rsidRPr="00A170CD" w:rsidRDefault="006667B2" w:rsidP="00AE17BC">
      <w:pPr>
        <w:pStyle w:val="CDBGBODYSTYLE"/>
        <w:spacing w:line="240" w:lineRule="auto"/>
      </w:pPr>
      <w:r w:rsidRPr="001422FD">
        <w:rPr>
          <w:b/>
          <w:bCs/>
        </w:rPr>
        <w:t>Description</w:t>
      </w:r>
      <w:r>
        <w:t xml:space="preserve"> – </w:t>
      </w:r>
      <w:r w:rsidRPr="00A170CD">
        <w:t xml:space="preserve">HUD regulations to implement </w:t>
      </w:r>
      <w:r>
        <w:t>E</w:t>
      </w:r>
      <w:r w:rsidRPr="00A170CD">
        <w:t xml:space="preserve">xecutive </w:t>
      </w:r>
      <w:r>
        <w:t>O</w:t>
      </w:r>
      <w:r w:rsidRPr="00A170CD">
        <w:t>rder</w:t>
      </w:r>
      <w:r>
        <w:t xml:space="preserve">s </w:t>
      </w:r>
      <w:r w:rsidR="000402B0">
        <w:t xml:space="preserve">Nos. </w:t>
      </w:r>
      <w:r>
        <w:t xml:space="preserve">11988 </w:t>
      </w:r>
      <w:r w:rsidR="0073650B">
        <w:t xml:space="preserve">(as amended by Executive Order 13690) </w:t>
      </w:r>
      <w:r>
        <w:t>and 11990</w:t>
      </w:r>
      <w:r w:rsidRPr="00A170CD">
        <w:t xml:space="preserve"> on development in floodplains</w:t>
      </w:r>
      <w:r>
        <w:t xml:space="preserve"> and wetlands</w:t>
      </w:r>
      <w:r w:rsidRPr="00A170CD">
        <w:t>.</w:t>
      </w:r>
      <w:r>
        <w:t xml:space="preserve"> See HUD Exchange for more information and publication requirements. This could add 15 days to the Environmental Process.  </w:t>
      </w:r>
    </w:p>
    <w:p w14:paraId="5C85E130" w14:textId="77777777" w:rsidR="006667B2" w:rsidRDefault="006667B2" w:rsidP="00AE17BC">
      <w:pPr>
        <w:rPr>
          <w:rFonts w:cs="Arial"/>
          <w:szCs w:val="22"/>
        </w:rPr>
      </w:pPr>
    </w:p>
    <w:p w14:paraId="171CD7CA" w14:textId="77777777" w:rsidR="006667B2" w:rsidRPr="00B15AEB" w:rsidRDefault="00000000" w:rsidP="00AE17BC">
      <w:pPr>
        <w:pStyle w:val="CDBGBODYSTYLE"/>
        <w:spacing w:line="240" w:lineRule="auto"/>
        <w:rPr>
          <w:b/>
          <w:bCs/>
        </w:rPr>
      </w:pPr>
      <w:hyperlink r:id="rId19" w:history="1">
        <w:r w:rsidR="006667B2" w:rsidRPr="00B15AEB">
          <w:rPr>
            <w:b/>
            <w:bCs/>
          </w:rPr>
          <w:t>24 CFR Part 58</w:t>
        </w:r>
      </w:hyperlink>
      <w:r w:rsidR="006667B2" w:rsidRPr="00B15AEB">
        <w:rPr>
          <w:b/>
          <w:bCs/>
        </w:rPr>
        <w:t xml:space="preserve"> – Environmental Review Procedures for Entities Assuming HUD Environmental Responsibilities </w:t>
      </w:r>
    </w:p>
    <w:p w14:paraId="488F22B2" w14:textId="77777777" w:rsidR="006667B2" w:rsidRPr="00A170CD" w:rsidRDefault="006667B2" w:rsidP="00AE17BC">
      <w:pPr>
        <w:pStyle w:val="CDBGBODYSTYLE"/>
        <w:spacing w:line="240" w:lineRule="auto"/>
      </w:pPr>
      <w:r w:rsidRPr="001422FD">
        <w:rPr>
          <w:b/>
          <w:bCs/>
        </w:rPr>
        <w:t>Description</w:t>
      </w:r>
      <w:r>
        <w:t xml:space="preserve"> – </w:t>
      </w:r>
      <w:r w:rsidRPr="00A170CD">
        <w:t>The procedures outlined in th</w:t>
      </w:r>
      <w:r>
        <w:t>ese</w:t>
      </w:r>
      <w:r w:rsidRPr="00A170CD">
        <w:t xml:space="preserve"> regulation</w:t>
      </w:r>
      <w:r>
        <w:t>s</w:t>
      </w:r>
      <w:r w:rsidRPr="00A170CD">
        <w:t xml:space="preserve"> are used by entities that assume HUD's </w:t>
      </w:r>
      <w:r>
        <w:t>Environmental Review</w:t>
      </w:r>
      <w:r w:rsidRPr="00A170CD">
        <w:t xml:space="preserve"> responsibilities in determining program compliance with </w:t>
      </w:r>
      <w:r>
        <w:t>the intent of the NEPA</w:t>
      </w:r>
      <w:r w:rsidRPr="00A170CD">
        <w:t xml:space="preserve"> and other related statutes. Applicable HUD programs under th</w:t>
      </w:r>
      <w:r>
        <w:t>ese</w:t>
      </w:r>
      <w:r w:rsidRPr="00A170CD">
        <w:t xml:space="preserve"> regulation</w:t>
      </w:r>
      <w:r>
        <w:t>s</w:t>
      </w:r>
      <w:r w:rsidRPr="00A170CD">
        <w:t xml:space="preserve"> include only those in which a specific statute allows governing entities to assume the Federal responsibility.</w:t>
      </w:r>
    </w:p>
    <w:p w14:paraId="3632D6FD" w14:textId="77777777" w:rsidR="006667B2" w:rsidRPr="00A170CD" w:rsidRDefault="006667B2" w:rsidP="00AE17BC">
      <w:pPr>
        <w:rPr>
          <w:rFonts w:cs="Arial"/>
          <w:szCs w:val="22"/>
        </w:rPr>
      </w:pPr>
    </w:p>
    <w:p w14:paraId="576E76F5" w14:textId="77777777" w:rsidR="006667B2" w:rsidRPr="001422FD" w:rsidRDefault="00000000" w:rsidP="00AE17BC">
      <w:pPr>
        <w:pStyle w:val="CDBGBODYSTYLE"/>
        <w:spacing w:line="240" w:lineRule="auto"/>
      </w:pPr>
      <w:hyperlink r:id="rId20" w:history="1">
        <w:r w:rsidR="006667B2" w:rsidRPr="001422FD">
          <w:rPr>
            <w:b/>
            <w:bCs/>
          </w:rPr>
          <w:t>36 CFR Part 800</w:t>
        </w:r>
      </w:hyperlink>
      <w:r w:rsidR="006667B2">
        <w:rPr>
          <w:b/>
          <w:bCs/>
        </w:rPr>
        <w:t xml:space="preserve"> </w:t>
      </w:r>
      <w:r w:rsidR="006667B2" w:rsidRPr="00B15AEB">
        <w:rPr>
          <w:b/>
          <w:bCs/>
        </w:rPr>
        <w:t>– Protection of Historic Properties</w:t>
      </w:r>
    </w:p>
    <w:p w14:paraId="43D6870B" w14:textId="77777777" w:rsidR="006667B2" w:rsidRPr="001422FD" w:rsidRDefault="006667B2" w:rsidP="00AE17BC">
      <w:pPr>
        <w:pStyle w:val="CDBGBODYSTYLE"/>
        <w:spacing w:line="240" w:lineRule="auto"/>
      </w:pPr>
      <w:r w:rsidRPr="001422FD">
        <w:rPr>
          <w:b/>
          <w:bCs/>
        </w:rPr>
        <w:t>Description</w:t>
      </w:r>
      <w:r>
        <w:t xml:space="preserve"> – </w:t>
      </w:r>
      <w:r w:rsidRPr="001422FD">
        <w:t>The Advisory Commission on Historic Preservation Rules, used by HUD for all HUD projects.</w:t>
      </w:r>
    </w:p>
    <w:p w14:paraId="5B7B95C7" w14:textId="6EF559D7" w:rsidR="008E6678" w:rsidRDefault="008E6678" w:rsidP="00AE17BC"/>
    <w:p w14:paraId="5926F0B2" w14:textId="77777777" w:rsidR="007D4379" w:rsidRDefault="007D4379" w:rsidP="007E5785">
      <w:pPr>
        <w:pStyle w:val="Heading5"/>
        <w:rPr>
          <w:b w:val="0"/>
          <w:sz w:val="22"/>
          <w:szCs w:val="24"/>
        </w:rPr>
      </w:pPr>
      <w:bookmarkStart w:id="55" w:name="_Toc116625159"/>
      <w:bookmarkStart w:id="56" w:name="_Toc123110441"/>
    </w:p>
    <w:p w14:paraId="466CFDF7" w14:textId="42DDFC5A" w:rsidR="00325BAD" w:rsidRDefault="00325BAD" w:rsidP="001F52AB">
      <w:pPr>
        <w:pStyle w:val="Heading5"/>
      </w:pPr>
      <w:bookmarkStart w:id="57" w:name="_Toc171783660"/>
      <w:r>
        <w:t>Resources</w:t>
      </w:r>
      <w:bookmarkEnd w:id="55"/>
      <w:bookmarkEnd w:id="56"/>
      <w:bookmarkEnd w:id="57"/>
    </w:p>
    <w:p w14:paraId="5E57CC90" w14:textId="77777777" w:rsidR="00325BAD" w:rsidRDefault="00325BAD" w:rsidP="00325BAD"/>
    <w:tbl>
      <w:tblPr>
        <w:tblStyle w:val="TableGrid"/>
        <w:tblW w:w="0" w:type="auto"/>
        <w:tblLayout w:type="fixed"/>
        <w:tblLook w:val="04A0" w:firstRow="1" w:lastRow="0" w:firstColumn="1" w:lastColumn="0" w:noHBand="0" w:noVBand="1"/>
      </w:tblPr>
      <w:tblGrid>
        <w:gridCol w:w="1525"/>
        <w:gridCol w:w="3060"/>
        <w:gridCol w:w="5341"/>
      </w:tblGrid>
      <w:tr w:rsidR="00325BAD" w:rsidRPr="00FA2D28" w14:paraId="54657769" w14:textId="77777777" w:rsidTr="002470A3">
        <w:tc>
          <w:tcPr>
            <w:tcW w:w="1525" w:type="dxa"/>
          </w:tcPr>
          <w:p w14:paraId="694F965D" w14:textId="77777777" w:rsidR="00325BAD" w:rsidRPr="00FA2D28" w:rsidRDefault="00325BAD" w:rsidP="00FA2D28">
            <w:pPr>
              <w:pStyle w:val="1BODY-Arial11"/>
            </w:pPr>
            <w:r w:rsidRPr="00FA2D28">
              <w:t>Resource Number</w:t>
            </w:r>
          </w:p>
        </w:tc>
        <w:tc>
          <w:tcPr>
            <w:tcW w:w="3060" w:type="dxa"/>
          </w:tcPr>
          <w:p w14:paraId="2D4856C3" w14:textId="77777777" w:rsidR="00325BAD" w:rsidRPr="00FA2D28" w:rsidRDefault="00325BAD" w:rsidP="00FA2D28">
            <w:pPr>
              <w:pStyle w:val="1BODY-Arial11"/>
            </w:pPr>
            <w:r w:rsidRPr="00FA2D28">
              <w:t>Description</w:t>
            </w:r>
          </w:p>
        </w:tc>
        <w:tc>
          <w:tcPr>
            <w:tcW w:w="5341" w:type="dxa"/>
          </w:tcPr>
          <w:p w14:paraId="4B353CAC" w14:textId="77777777" w:rsidR="00325BAD" w:rsidRPr="00FA2D28" w:rsidRDefault="00325BAD" w:rsidP="00FA2D28">
            <w:pPr>
              <w:pStyle w:val="1BODY-Arial11"/>
            </w:pPr>
            <w:r w:rsidRPr="00FA2D28">
              <w:t>URL</w:t>
            </w:r>
          </w:p>
        </w:tc>
      </w:tr>
      <w:tr w:rsidR="00325BAD" w:rsidRPr="00FA2D28" w14:paraId="2693A613" w14:textId="77777777" w:rsidTr="002470A3">
        <w:tc>
          <w:tcPr>
            <w:tcW w:w="1525" w:type="dxa"/>
          </w:tcPr>
          <w:p w14:paraId="53A2EAAF" w14:textId="77777777" w:rsidR="00325BAD" w:rsidRPr="00FA2D28" w:rsidRDefault="00325BAD" w:rsidP="00FA2D28">
            <w:pPr>
              <w:pStyle w:val="1BODY-Arial11"/>
            </w:pPr>
          </w:p>
        </w:tc>
        <w:tc>
          <w:tcPr>
            <w:tcW w:w="3060" w:type="dxa"/>
          </w:tcPr>
          <w:p w14:paraId="2C1218DD" w14:textId="77777777" w:rsidR="00325BAD" w:rsidRPr="00FA2D28" w:rsidRDefault="00325BAD" w:rsidP="00FA2D28">
            <w:pPr>
              <w:pStyle w:val="1BODY-Arial11"/>
            </w:pPr>
            <w:r w:rsidRPr="00FA2D28">
              <w:t>24 CFR part 58</w:t>
            </w:r>
          </w:p>
        </w:tc>
        <w:tc>
          <w:tcPr>
            <w:tcW w:w="5341" w:type="dxa"/>
          </w:tcPr>
          <w:p w14:paraId="4D508F3B" w14:textId="75D74B22" w:rsidR="00325BAD" w:rsidRPr="00FA2D28" w:rsidRDefault="00000000" w:rsidP="00FA2D28">
            <w:pPr>
              <w:pStyle w:val="1BODY-Arial11"/>
            </w:pPr>
            <w:hyperlink r:id="rId21" w:history="1">
              <w:r w:rsidR="00325BAD" w:rsidRPr="00FA2D28">
                <w:rPr>
                  <w:rStyle w:val="Hyperlink"/>
                  <w:b w:val="0"/>
                  <w:bCs/>
                  <w:color w:val="auto"/>
                </w:rPr>
                <w:t>https://www.ecfr.gov/current/title-24/subtitle-A/part-58</w:t>
              </w:r>
            </w:hyperlink>
          </w:p>
        </w:tc>
      </w:tr>
      <w:tr w:rsidR="00325BAD" w:rsidRPr="00FA2D28" w14:paraId="60C9C6B3" w14:textId="77777777" w:rsidTr="002470A3">
        <w:tc>
          <w:tcPr>
            <w:tcW w:w="1525" w:type="dxa"/>
          </w:tcPr>
          <w:p w14:paraId="0956E000" w14:textId="77777777" w:rsidR="00325BAD" w:rsidRPr="00FA2D28" w:rsidRDefault="00325BAD" w:rsidP="00FA2D28">
            <w:pPr>
              <w:pStyle w:val="1BODY-Arial11"/>
            </w:pPr>
          </w:p>
        </w:tc>
        <w:tc>
          <w:tcPr>
            <w:tcW w:w="3060" w:type="dxa"/>
          </w:tcPr>
          <w:p w14:paraId="64DC2335" w14:textId="77777777" w:rsidR="00325BAD" w:rsidRPr="00FA2D28" w:rsidRDefault="00325BAD" w:rsidP="00FA2D28">
            <w:pPr>
              <w:pStyle w:val="1BODY-Arial11"/>
            </w:pPr>
            <w:r w:rsidRPr="00FA2D28">
              <w:t>HUD Exchange – Environmental review</w:t>
            </w:r>
          </w:p>
        </w:tc>
        <w:tc>
          <w:tcPr>
            <w:tcW w:w="5341" w:type="dxa"/>
          </w:tcPr>
          <w:p w14:paraId="6C3FA5D5" w14:textId="6D34D72E" w:rsidR="00325BAD" w:rsidRPr="00FA2D28" w:rsidRDefault="00000000" w:rsidP="00FA2D28">
            <w:pPr>
              <w:pStyle w:val="1BODY-Arial11"/>
            </w:pPr>
            <w:hyperlink r:id="rId22" w:history="1">
              <w:r w:rsidR="00325BAD" w:rsidRPr="00FA2D28">
                <w:rPr>
                  <w:rStyle w:val="Hyperlink"/>
                  <w:b w:val="0"/>
                  <w:bCs/>
                  <w:color w:val="auto"/>
                </w:rPr>
                <w:t>https://www.hudexchange.info/programs/environmental-review/</w:t>
              </w:r>
            </w:hyperlink>
          </w:p>
        </w:tc>
      </w:tr>
      <w:tr w:rsidR="00325BAD" w:rsidRPr="00FA2D28" w14:paraId="25D7FFCD" w14:textId="77777777" w:rsidTr="002470A3">
        <w:tc>
          <w:tcPr>
            <w:tcW w:w="1525" w:type="dxa"/>
          </w:tcPr>
          <w:p w14:paraId="37D8B7A4" w14:textId="77777777" w:rsidR="00325BAD" w:rsidRPr="00FA2D28" w:rsidRDefault="00325BAD" w:rsidP="00FA2D28">
            <w:pPr>
              <w:pStyle w:val="1BODY-Arial11"/>
            </w:pPr>
          </w:p>
        </w:tc>
        <w:tc>
          <w:tcPr>
            <w:tcW w:w="3060" w:type="dxa"/>
          </w:tcPr>
          <w:p w14:paraId="1009D6AA" w14:textId="77777777" w:rsidR="00325BAD" w:rsidRPr="00FA2D28" w:rsidRDefault="00325BAD" w:rsidP="00FA2D28">
            <w:pPr>
              <w:pStyle w:val="1BODY-Arial11"/>
            </w:pPr>
            <w:r w:rsidRPr="00FA2D28">
              <w:t>Notice for Interpreting the Limits of the Floodway for Linear Infrastructure Projects Complying with HUD Floodplain Management Regulations</w:t>
            </w:r>
          </w:p>
        </w:tc>
        <w:tc>
          <w:tcPr>
            <w:tcW w:w="5341" w:type="dxa"/>
          </w:tcPr>
          <w:p w14:paraId="647CE131" w14:textId="1737FE3D" w:rsidR="00325BAD" w:rsidRPr="00FA2D28" w:rsidRDefault="00000000" w:rsidP="00FA2D28">
            <w:pPr>
              <w:pStyle w:val="1BODY-Arial11"/>
            </w:pPr>
            <w:hyperlink r:id="rId23" w:history="1">
              <w:r w:rsidR="00325BAD" w:rsidRPr="00FA2D28">
                <w:rPr>
                  <w:rStyle w:val="Hyperlink"/>
                  <w:b w:val="0"/>
                  <w:bCs/>
                  <w:color w:val="auto"/>
                </w:rPr>
                <w:t>https://www.hudexchange.info/resource/5662/notice-cpd-17-13-notice-for-interpreting-the-limits-of-the-floodway-for-linear-infrastructure-projects-complying-with-hud-floodplain-management-regulations/</w:t>
              </w:r>
            </w:hyperlink>
          </w:p>
        </w:tc>
      </w:tr>
      <w:tr w:rsidR="00325BAD" w:rsidRPr="00FA2D28" w14:paraId="5B02C616" w14:textId="77777777" w:rsidTr="002470A3">
        <w:tc>
          <w:tcPr>
            <w:tcW w:w="1525" w:type="dxa"/>
          </w:tcPr>
          <w:p w14:paraId="6A7D1DA2" w14:textId="77777777" w:rsidR="00325BAD" w:rsidRPr="00FA2D28" w:rsidRDefault="00325BAD" w:rsidP="00FA2D28">
            <w:pPr>
              <w:pStyle w:val="1BODY-Arial11"/>
            </w:pPr>
          </w:p>
        </w:tc>
        <w:tc>
          <w:tcPr>
            <w:tcW w:w="3060" w:type="dxa"/>
          </w:tcPr>
          <w:p w14:paraId="5CE6B89A" w14:textId="77777777" w:rsidR="00325BAD" w:rsidRPr="00FA2D28" w:rsidRDefault="00325BAD" w:rsidP="00FA2D28">
            <w:pPr>
              <w:pStyle w:val="1BODY-Arial11"/>
            </w:pPr>
            <w:r w:rsidRPr="00FA2D28">
              <w:t>Process for Tribal Consultation in Projects that are Reviewed Under 24 CFR Part 58</w:t>
            </w:r>
          </w:p>
        </w:tc>
        <w:tc>
          <w:tcPr>
            <w:tcW w:w="5341" w:type="dxa"/>
          </w:tcPr>
          <w:p w14:paraId="1A44C33D" w14:textId="3545272A" w:rsidR="00325BAD" w:rsidRPr="00FA2D28" w:rsidRDefault="00000000" w:rsidP="00FA2D28">
            <w:pPr>
              <w:pStyle w:val="1BODY-Arial11"/>
            </w:pPr>
            <w:hyperlink r:id="rId24" w:history="1">
              <w:r w:rsidR="00325BAD" w:rsidRPr="00FA2D28">
                <w:rPr>
                  <w:rStyle w:val="Hyperlink"/>
                  <w:b w:val="0"/>
                  <w:bCs/>
                  <w:color w:val="auto"/>
                </w:rPr>
                <w:t>https://www.hudexchange.info/resource/2448/notice-cpd-12-006-tribal-consultation-under-24-cfr-part-58/</w:t>
              </w:r>
            </w:hyperlink>
            <w:r w:rsidR="00325BAD" w:rsidRPr="00FA2D28">
              <w:t xml:space="preserve"> </w:t>
            </w:r>
          </w:p>
        </w:tc>
      </w:tr>
      <w:tr w:rsidR="00325BAD" w:rsidRPr="00FA2D28" w14:paraId="31E923A0" w14:textId="77777777" w:rsidTr="002470A3">
        <w:tc>
          <w:tcPr>
            <w:tcW w:w="1525" w:type="dxa"/>
          </w:tcPr>
          <w:p w14:paraId="14762C69" w14:textId="77777777" w:rsidR="00325BAD" w:rsidRPr="00FA2D28" w:rsidRDefault="00325BAD" w:rsidP="00FA2D28">
            <w:pPr>
              <w:pStyle w:val="1BODY-Arial11"/>
            </w:pPr>
          </w:p>
        </w:tc>
        <w:tc>
          <w:tcPr>
            <w:tcW w:w="3060" w:type="dxa"/>
          </w:tcPr>
          <w:p w14:paraId="149279A3" w14:textId="77777777" w:rsidR="00325BAD" w:rsidRPr="00FA2D28" w:rsidRDefault="00325BAD" w:rsidP="00FA2D28">
            <w:pPr>
              <w:pStyle w:val="1BODY-Arial11"/>
            </w:pPr>
            <w:r w:rsidRPr="00FA2D28">
              <w:t>Guidance for Categorizing an Activity as Maintenance for Compliance with HUD Environmental Regulations, 24 CFR Parts 50 and 58</w:t>
            </w:r>
          </w:p>
          <w:p w14:paraId="52510C40" w14:textId="77777777" w:rsidR="00325BAD" w:rsidRPr="00FA2D28" w:rsidRDefault="00325BAD" w:rsidP="00FA2D28">
            <w:pPr>
              <w:pStyle w:val="1BODY-Arial11"/>
            </w:pPr>
          </w:p>
        </w:tc>
        <w:tc>
          <w:tcPr>
            <w:tcW w:w="5341" w:type="dxa"/>
          </w:tcPr>
          <w:p w14:paraId="0A4FC945" w14:textId="30403A27" w:rsidR="00325BAD" w:rsidRPr="00FA2D28" w:rsidRDefault="00000000" w:rsidP="00FA2D28">
            <w:pPr>
              <w:pStyle w:val="1BODY-Arial11"/>
            </w:pPr>
            <w:hyperlink r:id="rId25" w:history="1">
              <w:r w:rsidR="00325BAD" w:rsidRPr="00FA2D28">
                <w:rPr>
                  <w:rStyle w:val="Hyperlink"/>
                  <w:b w:val="0"/>
                  <w:bCs/>
                  <w:color w:val="auto"/>
                </w:rPr>
                <w:t>https://www.hudexchange.info/resource/3197/guidance-categorizing-activity-as-maintenance-environmental-regulations-24-cfr-parts-50-and-58/</w:t>
              </w:r>
            </w:hyperlink>
          </w:p>
        </w:tc>
      </w:tr>
    </w:tbl>
    <w:p w14:paraId="37B38C2B" w14:textId="08280D45" w:rsidR="00325BAD" w:rsidRPr="00FA2D28" w:rsidRDefault="00325BAD" w:rsidP="00325BAD">
      <w:pPr>
        <w:rPr>
          <w:sz w:val="20"/>
          <w:szCs w:val="20"/>
        </w:rPr>
      </w:pPr>
      <w:r w:rsidRPr="00FA2D28">
        <w:rPr>
          <w:sz w:val="20"/>
          <w:szCs w:val="20"/>
        </w:rPr>
        <w:t xml:space="preserve">*Note: these items will be updated as needed. </w:t>
      </w:r>
    </w:p>
    <w:p w14:paraId="6E574CA9" w14:textId="77777777" w:rsidR="00325BAD" w:rsidRPr="00FA2D28" w:rsidRDefault="00325BAD" w:rsidP="00AE17BC">
      <w:pPr>
        <w:rPr>
          <w:sz w:val="20"/>
          <w:szCs w:val="20"/>
        </w:rPr>
      </w:pPr>
    </w:p>
    <w:sectPr w:rsidR="00325BAD" w:rsidRPr="00FA2D28" w:rsidSect="00F547B6">
      <w:headerReference w:type="even" r:id="rId26"/>
      <w:headerReference w:type="default" r:id="rId27"/>
      <w:footerReference w:type="default" r:id="rId28"/>
      <w:pgSz w:w="12240" w:h="15840" w:code="1"/>
      <w:pgMar w:top="1152" w:right="1152" w:bottom="994"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E1FE2" w14:textId="77777777" w:rsidR="005B78FD" w:rsidRDefault="005B78FD">
      <w:r>
        <w:separator/>
      </w:r>
    </w:p>
  </w:endnote>
  <w:endnote w:type="continuationSeparator" w:id="0">
    <w:p w14:paraId="50065371" w14:textId="77777777" w:rsidR="005B78FD" w:rsidRDefault="005B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40302" w14:textId="77777777" w:rsidR="008E6678" w:rsidRDefault="008E6678" w:rsidP="00BC7CF5">
    <w:pPr>
      <w:pBdr>
        <w:top w:val="dotted" w:sz="4" w:space="1" w:color="auto"/>
      </w:pBdr>
      <w:tabs>
        <w:tab w:val="left" w:pos="3870"/>
        <w:tab w:val="left" w:pos="5040"/>
        <w:tab w:val="left" w:pos="7920"/>
        <w:tab w:val="right" w:pos="9630"/>
      </w:tabs>
      <w:rPr>
        <w:rFonts w:cs="Arial"/>
        <w:sz w:val="16"/>
        <w:szCs w:val="16"/>
      </w:rPr>
    </w:pPr>
  </w:p>
  <w:p w14:paraId="1C84565F" w14:textId="0851BCB4" w:rsidR="008E6678" w:rsidRDefault="006667B2" w:rsidP="00BC7CF5">
    <w:pPr>
      <w:pBdr>
        <w:top w:val="dotted" w:sz="4" w:space="1" w:color="auto"/>
      </w:pBdr>
      <w:tabs>
        <w:tab w:val="left" w:pos="3870"/>
        <w:tab w:val="left" w:pos="5040"/>
        <w:tab w:val="left" w:pos="7920"/>
        <w:tab w:val="right" w:pos="9630"/>
      </w:tabs>
      <w:rPr>
        <w:rStyle w:val="PageNumber"/>
        <w:rFonts w:cs="Arial"/>
        <w:sz w:val="16"/>
        <w:szCs w:val="16"/>
      </w:rPr>
    </w:pPr>
    <w:r>
      <w:rPr>
        <w:rFonts w:cs="Arial"/>
        <w:sz w:val="16"/>
        <w:szCs w:val="16"/>
      </w:rPr>
      <w:t>202</w:t>
    </w:r>
    <w:r w:rsidR="00AC3827">
      <w:rPr>
        <w:rFonts w:cs="Arial"/>
        <w:sz w:val="16"/>
        <w:szCs w:val="16"/>
      </w:rPr>
      <w:t>4</w:t>
    </w:r>
    <w:r>
      <w:rPr>
        <w:rFonts w:cs="Arial"/>
        <w:sz w:val="16"/>
        <w:szCs w:val="16"/>
      </w:rPr>
      <w:t xml:space="preserve"> </w:t>
    </w:r>
    <w:r w:rsidRPr="00C80B3B">
      <w:rPr>
        <w:rFonts w:cs="Arial"/>
        <w:sz w:val="16"/>
        <w:szCs w:val="16"/>
      </w:rPr>
      <w:t>T</w:t>
    </w:r>
    <w:r>
      <w:rPr>
        <w:rFonts w:cs="Arial"/>
        <w:sz w:val="16"/>
        <w:szCs w:val="16"/>
      </w:rPr>
      <w:t xml:space="preserve">xCDBG Project Implementation Manual     </w:t>
    </w:r>
    <w:r>
      <w:rPr>
        <w:rFonts w:cs="Arial"/>
        <w:sz w:val="16"/>
        <w:szCs w:val="16"/>
      </w:rPr>
      <w:tab/>
      <w:t>SECTION A - Chapter 3   Environmental Review</w:t>
    </w:r>
    <w:r w:rsidR="00FA2D28">
      <w:rPr>
        <w:rFonts w:cs="Arial"/>
        <w:sz w:val="16"/>
        <w:szCs w:val="16"/>
      </w:rPr>
      <w:tab/>
    </w:r>
    <w:r w:rsidR="0000563F">
      <w:rPr>
        <w:rFonts w:cs="Arial"/>
        <w:sz w:val="16"/>
        <w:szCs w:val="16"/>
      </w:rPr>
      <w:t>9</w:t>
    </w:r>
    <w:r>
      <w:rPr>
        <w:rFonts w:cs="Arial"/>
        <w:sz w:val="16"/>
        <w:szCs w:val="16"/>
      </w:rPr>
      <w:t>.1.</w:t>
    </w:r>
    <w:r w:rsidR="00DC0B3C">
      <w:rPr>
        <w:rFonts w:cs="Arial"/>
        <w:sz w:val="16"/>
        <w:szCs w:val="16"/>
      </w:rPr>
      <w:t>2024</w:t>
    </w:r>
    <w:r>
      <w:rPr>
        <w:rFonts w:cs="Arial"/>
        <w:sz w:val="16"/>
        <w:szCs w:val="16"/>
      </w:rPr>
      <w:tab/>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EE6F8" w14:textId="77777777" w:rsidR="005B78FD" w:rsidRDefault="005B78FD">
      <w:r>
        <w:separator/>
      </w:r>
    </w:p>
  </w:footnote>
  <w:footnote w:type="continuationSeparator" w:id="0">
    <w:p w14:paraId="2FA09808" w14:textId="77777777" w:rsidR="005B78FD" w:rsidRDefault="005B78FD">
      <w:r>
        <w:continuationSeparator/>
      </w:r>
    </w:p>
  </w:footnote>
  <w:footnote w:id="1">
    <w:p w14:paraId="0B67DFFB" w14:textId="5A46B3FF" w:rsidR="00D67B91" w:rsidRPr="00147DB2" w:rsidRDefault="00D67B91">
      <w:pPr>
        <w:pStyle w:val="FootnoteText"/>
        <w:rPr>
          <w:sz w:val="18"/>
          <w:szCs w:val="18"/>
        </w:rPr>
      </w:pPr>
      <w:r w:rsidRPr="00147DB2">
        <w:rPr>
          <w:rStyle w:val="FootnoteReference"/>
          <w:sz w:val="18"/>
          <w:szCs w:val="18"/>
        </w:rPr>
        <w:footnoteRef/>
      </w:r>
      <w:r w:rsidRPr="00147DB2">
        <w:rPr>
          <w:sz w:val="18"/>
          <w:szCs w:val="18"/>
        </w:rPr>
        <w:t xml:space="preserve"> 24 CFR </w:t>
      </w:r>
      <w:bookmarkStart w:id="18" w:name="_Hlk117598852"/>
      <w:r w:rsidRPr="00147DB2">
        <w:rPr>
          <w:sz w:val="18"/>
          <w:szCs w:val="18"/>
        </w:rPr>
        <w:t>§</w:t>
      </w:r>
      <w:bookmarkEnd w:id="18"/>
      <w:r w:rsidRPr="00147DB2">
        <w:rPr>
          <w:sz w:val="18"/>
          <w:szCs w:val="18"/>
        </w:rPr>
        <w:t>58.22(a)</w:t>
      </w:r>
    </w:p>
  </w:footnote>
  <w:footnote w:id="2">
    <w:p w14:paraId="04C4A6CC" w14:textId="1E7081BF" w:rsidR="0010468B" w:rsidRPr="00147DB2" w:rsidRDefault="0010468B">
      <w:pPr>
        <w:pStyle w:val="FootnoteText"/>
        <w:rPr>
          <w:sz w:val="18"/>
          <w:szCs w:val="18"/>
        </w:rPr>
      </w:pPr>
      <w:r w:rsidRPr="00147DB2">
        <w:rPr>
          <w:rStyle w:val="FootnoteReference"/>
          <w:sz w:val="18"/>
          <w:szCs w:val="18"/>
        </w:rPr>
        <w:footnoteRef/>
      </w:r>
      <w:r w:rsidRPr="00147DB2">
        <w:rPr>
          <w:sz w:val="18"/>
          <w:szCs w:val="18"/>
        </w:rPr>
        <w:t xml:space="preserve"> 24 CFR §58.30(b)</w:t>
      </w:r>
    </w:p>
  </w:footnote>
  <w:footnote w:id="3">
    <w:p w14:paraId="5B093F18" w14:textId="6A126B44" w:rsidR="00D67B91" w:rsidRPr="00147DB2" w:rsidRDefault="00D67B91">
      <w:pPr>
        <w:pStyle w:val="FootnoteText"/>
        <w:rPr>
          <w:sz w:val="18"/>
          <w:szCs w:val="18"/>
        </w:rPr>
      </w:pPr>
      <w:r w:rsidRPr="00147DB2">
        <w:rPr>
          <w:rStyle w:val="FootnoteReference"/>
          <w:sz w:val="18"/>
          <w:szCs w:val="18"/>
        </w:rPr>
        <w:footnoteRef/>
      </w:r>
      <w:r w:rsidRPr="00147DB2">
        <w:rPr>
          <w:sz w:val="18"/>
          <w:szCs w:val="18"/>
        </w:rPr>
        <w:t xml:space="preserve"> 24 CFR §58.30</w:t>
      </w:r>
    </w:p>
  </w:footnote>
  <w:footnote w:id="4">
    <w:p w14:paraId="3D35EA1B" w14:textId="2AAAD38A" w:rsidR="0080743F" w:rsidRDefault="0080743F">
      <w:pPr>
        <w:pStyle w:val="FootnoteText"/>
      </w:pPr>
      <w:r>
        <w:rPr>
          <w:rStyle w:val="FootnoteReference"/>
        </w:rPr>
        <w:footnoteRef/>
      </w:r>
      <w:r>
        <w:t xml:space="preserve"> </w:t>
      </w:r>
      <w:r w:rsidRPr="00B302E8">
        <w:rPr>
          <w:rFonts w:cs="Arial"/>
          <w:color w:val="333333"/>
          <w:sz w:val="18"/>
          <w:szCs w:val="18"/>
          <w:shd w:val="clear" w:color="auto" w:fill="FFFFFF"/>
        </w:rPr>
        <w:t>24 CFR 55.2(b)(5)</w:t>
      </w:r>
    </w:p>
  </w:footnote>
  <w:footnote w:id="5">
    <w:p w14:paraId="0BB1FF8D" w14:textId="3912BC6E" w:rsidR="008F22E7" w:rsidRPr="00A017EB" w:rsidRDefault="0080743F">
      <w:pPr>
        <w:pStyle w:val="FootnoteText"/>
        <w:rPr>
          <w:sz w:val="18"/>
          <w:szCs w:val="18"/>
        </w:rPr>
      </w:pPr>
      <w:r>
        <w:rPr>
          <w:rStyle w:val="FootnoteReference"/>
        </w:rPr>
        <w:t>5</w:t>
      </w:r>
      <w:r>
        <w:t xml:space="preserve"> </w:t>
      </w:r>
      <w:r w:rsidR="00955CBA" w:rsidRPr="00A017EB">
        <w:rPr>
          <w:sz w:val="18"/>
          <w:szCs w:val="18"/>
        </w:rPr>
        <w:t>44 CFR 59.1</w:t>
      </w:r>
    </w:p>
  </w:footnote>
  <w:footnote w:id="6">
    <w:p w14:paraId="253CCCB5" w14:textId="188B0A4D" w:rsidR="00C45607" w:rsidRPr="00955CBA" w:rsidRDefault="00C45607">
      <w:pPr>
        <w:pStyle w:val="FootnoteText"/>
        <w:rPr>
          <w:sz w:val="18"/>
          <w:szCs w:val="18"/>
        </w:rPr>
      </w:pPr>
      <w:r w:rsidRPr="00955CBA">
        <w:rPr>
          <w:rStyle w:val="FootnoteReference"/>
          <w:sz w:val="18"/>
          <w:szCs w:val="18"/>
        </w:rPr>
        <w:footnoteRef/>
      </w:r>
      <w:r w:rsidRPr="00955CBA">
        <w:rPr>
          <w:sz w:val="18"/>
          <w:szCs w:val="18"/>
        </w:rPr>
        <w:t xml:space="preserve"> 24 CFR 55.2(b)(6)</w:t>
      </w:r>
    </w:p>
  </w:footnote>
  <w:footnote w:id="7">
    <w:p w14:paraId="1FF8E89C" w14:textId="25E444F9" w:rsidR="00955CBA" w:rsidRDefault="00955CBA">
      <w:pPr>
        <w:pStyle w:val="FootnoteText"/>
      </w:pPr>
      <w:r w:rsidRPr="00A017EB">
        <w:rPr>
          <w:rStyle w:val="FootnoteReference"/>
          <w:sz w:val="18"/>
          <w:szCs w:val="18"/>
        </w:rPr>
        <w:footnoteRef/>
      </w:r>
      <w:r w:rsidRPr="00A017EB">
        <w:rPr>
          <w:sz w:val="18"/>
          <w:szCs w:val="18"/>
        </w:rPr>
        <w:t xml:space="preserve"> 24 CFR 55.2(3)(</w:t>
      </w:r>
      <w:proofErr w:type="spellStart"/>
      <w:r w:rsidRPr="00A017EB">
        <w:rPr>
          <w:sz w:val="18"/>
          <w:szCs w:val="18"/>
        </w:rPr>
        <w:t>i</w:t>
      </w:r>
      <w:proofErr w:type="spellEnd"/>
      <w:r w:rsidRPr="00A017EB">
        <w:rPr>
          <w:sz w:val="18"/>
          <w:szCs w:val="18"/>
        </w:rPr>
        <w:t>)</w:t>
      </w:r>
    </w:p>
  </w:footnote>
  <w:footnote w:id="8">
    <w:p w14:paraId="17030959" w14:textId="77777777" w:rsidR="00512849" w:rsidRPr="00147DB2" w:rsidRDefault="00512849" w:rsidP="00512849">
      <w:pPr>
        <w:pStyle w:val="FootnoteText"/>
        <w:rPr>
          <w:sz w:val="18"/>
          <w:szCs w:val="18"/>
        </w:rPr>
      </w:pPr>
      <w:r w:rsidRPr="00147DB2">
        <w:rPr>
          <w:rStyle w:val="FootnoteReference"/>
          <w:sz w:val="18"/>
          <w:szCs w:val="18"/>
        </w:rPr>
        <w:footnoteRef/>
      </w:r>
      <w:r w:rsidRPr="00147DB2">
        <w:rPr>
          <w:sz w:val="18"/>
          <w:szCs w:val="18"/>
        </w:rPr>
        <w:t xml:space="preserve"> 24 CFR §58.6</w:t>
      </w:r>
    </w:p>
  </w:footnote>
  <w:footnote w:id="9">
    <w:p w14:paraId="64CAA86B" w14:textId="193AC473" w:rsidR="00D53013" w:rsidRPr="00147DB2" w:rsidRDefault="00D53013">
      <w:pPr>
        <w:pStyle w:val="FootnoteText"/>
        <w:rPr>
          <w:sz w:val="18"/>
          <w:szCs w:val="18"/>
        </w:rPr>
      </w:pPr>
      <w:r w:rsidRPr="00147DB2">
        <w:rPr>
          <w:rStyle w:val="FootnoteReference"/>
          <w:sz w:val="18"/>
          <w:szCs w:val="18"/>
        </w:rPr>
        <w:footnoteRef/>
      </w:r>
      <w:r w:rsidRPr="00147DB2">
        <w:rPr>
          <w:sz w:val="18"/>
          <w:szCs w:val="18"/>
        </w:rPr>
        <w:t xml:space="preserve"> 24 CFR </w:t>
      </w:r>
      <w:r w:rsidR="00DA0BFE" w:rsidRPr="00950AD8">
        <w:rPr>
          <w:rFonts w:cs="Arial"/>
          <w:sz w:val="18"/>
          <w:szCs w:val="18"/>
        </w:rPr>
        <w:t>§</w:t>
      </w:r>
      <w:r w:rsidRPr="00147DB2">
        <w:rPr>
          <w:sz w:val="18"/>
          <w:szCs w:val="18"/>
        </w:rPr>
        <w:t>58.38(b)</w:t>
      </w:r>
    </w:p>
  </w:footnote>
  <w:footnote w:id="10">
    <w:p w14:paraId="293259F3" w14:textId="15EE35A5" w:rsidR="00D53013" w:rsidRPr="00147DB2" w:rsidRDefault="00D53013">
      <w:pPr>
        <w:pStyle w:val="FootnoteText"/>
        <w:rPr>
          <w:sz w:val="18"/>
          <w:szCs w:val="18"/>
        </w:rPr>
      </w:pPr>
      <w:r w:rsidRPr="00147DB2">
        <w:rPr>
          <w:rStyle w:val="FootnoteReference"/>
          <w:sz w:val="18"/>
          <w:szCs w:val="18"/>
        </w:rPr>
        <w:footnoteRef/>
      </w:r>
      <w:r w:rsidRPr="00147DB2">
        <w:rPr>
          <w:sz w:val="18"/>
          <w:szCs w:val="18"/>
        </w:rPr>
        <w:t xml:space="preserve"> Section 106 of the National Historic Preservation Act of 1966</w:t>
      </w:r>
    </w:p>
  </w:footnote>
  <w:footnote w:id="11">
    <w:p w14:paraId="04553C51" w14:textId="77777777" w:rsidR="00F423C9" w:rsidRDefault="00F423C9" w:rsidP="00F423C9">
      <w:pPr>
        <w:pStyle w:val="FootnoteText"/>
      </w:pPr>
      <w:r>
        <w:rPr>
          <w:rStyle w:val="FootnoteReference"/>
        </w:rPr>
        <w:footnoteRef/>
      </w:r>
      <w:r>
        <w:t xml:space="preserve"> </w:t>
      </w:r>
      <w:hyperlink r:id="rId1" w:history="1">
        <w:r w:rsidRPr="00167079">
          <w:rPr>
            <w:rStyle w:val="Hyperlink"/>
            <w:b w:val="0"/>
          </w:rPr>
          <w:t>https://www.hud.gov/program_offices/comm_planning/environment_energy/ffrms</w:t>
        </w:r>
      </w:hyperlink>
      <w:r>
        <w:t xml:space="preserve"> </w:t>
      </w:r>
    </w:p>
  </w:footnote>
  <w:footnote w:id="12">
    <w:p w14:paraId="3EB2B1F1" w14:textId="3CA3B22A" w:rsidR="00025C84" w:rsidRPr="000B5237" w:rsidRDefault="00025C84" w:rsidP="00025C84">
      <w:pPr>
        <w:rPr>
          <w:sz w:val="18"/>
          <w:szCs w:val="18"/>
        </w:rPr>
      </w:pPr>
      <w:r w:rsidRPr="000B5237">
        <w:rPr>
          <w:rStyle w:val="FootnoteReference"/>
          <w:sz w:val="18"/>
          <w:szCs w:val="18"/>
        </w:rPr>
        <w:footnoteRef/>
      </w:r>
      <w:r w:rsidRPr="000B5237">
        <w:rPr>
          <w:sz w:val="18"/>
          <w:szCs w:val="18"/>
        </w:rPr>
        <w:t xml:space="preserve"> </w:t>
      </w:r>
      <w:r w:rsidRPr="000B5237">
        <w:rPr>
          <w:rFonts w:cs="Arial"/>
          <w:sz w:val="18"/>
          <w:szCs w:val="18"/>
        </w:rPr>
        <w:t>https://www.hudexchange.info/programs/environmental-review/tiered-environmental-reviews/</w:t>
      </w:r>
    </w:p>
  </w:footnote>
  <w:footnote w:id="13">
    <w:p w14:paraId="72A9290A" w14:textId="05D5AFAF" w:rsidR="00BE795B" w:rsidRPr="00BE795B" w:rsidRDefault="00BE795B">
      <w:pPr>
        <w:pStyle w:val="FootnoteText"/>
        <w:rPr>
          <w:sz w:val="18"/>
          <w:szCs w:val="18"/>
        </w:rPr>
      </w:pPr>
      <w:r w:rsidRPr="00BE795B">
        <w:rPr>
          <w:rStyle w:val="FootnoteReference"/>
          <w:sz w:val="18"/>
          <w:szCs w:val="18"/>
        </w:rPr>
        <w:footnoteRef/>
      </w:r>
      <w:r w:rsidRPr="00BE795B">
        <w:rPr>
          <w:sz w:val="18"/>
          <w:szCs w:val="18"/>
        </w:rPr>
        <w:t xml:space="preserve"> </w:t>
      </w:r>
      <w:r w:rsidRPr="00BE795B">
        <w:rPr>
          <w:bCs/>
          <w:sz w:val="18"/>
          <w:szCs w:val="18"/>
        </w:rPr>
        <w:t>24 CFR §58.43</w:t>
      </w:r>
    </w:p>
  </w:footnote>
  <w:footnote w:id="14">
    <w:p w14:paraId="40B8404B" w14:textId="3513660D" w:rsidR="00025C84" w:rsidRDefault="00025C84">
      <w:pPr>
        <w:pStyle w:val="FootnoteText"/>
      </w:pPr>
      <w:r>
        <w:rPr>
          <w:rStyle w:val="FootnoteReference"/>
        </w:rPr>
        <w:footnoteRef/>
      </w:r>
      <w:r>
        <w:t xml:space="preserve"> </w:t>
      </w:r>
      <w:r w:rsidRPr="000B5237">
        <w:rPr>
          <w:sz w:val="18"/>
          <w:szCs w:val="18"/>
        </w:rPr>
        <w:t>24 CFR §58.45</w:t>
      </w:r>
    </w:p>
  </w:footnote>
  <w:footnote w:id="15">
    <w:p w14:paraId="21ABC197" w14:textId="14B0E32F" w:rsidR="00BE795B" w:rsidRDefault="00BE795B">
      <w:pPr>
        <w:pStyle w:val="FootnoteText"/>
      </w:pPr>
      <w:r>
        <w:rPr>
          <w:rStyle w:val="FootnoteReference"/>
        </w:rPr>
        <w:footnoteRef/>
      </w:r>
      <w:r>
        <w:t xml:space="preserve"> </w:t>
      </w:r>
      <w:r w:rsidRPr="00BE795B">
        <w:rPr>
          <w:sz w:val="18"/>
          <w:szCs w:val="18"/>
        </w:rPr>
        <w:t>24 CFR §58.21</w:t>
      </w:r>
    </w:p>
  </w:footnote>
  <w:footnote w:id="16">
    <w:p w14:paraId="5E7D6E28" w14:textId="3F40773A" w:rsidR="00BE795B" w:rsidRDefault="00BE795B">
      <w:pPr>
        <w:pStyle w:val="FootnoteText"/>
      </w:pPr>
      <w:r>
        <w:rPr>
          <w:rStyle w:val="FootnoteReference"/>
        </w:rPr>
        <w:footnoteRef/>
      </w:r>
      <w:r>
        <w:t xml:space="preserve"> </w:t>
      </w:r>
      <w:r w:rsidRPr="00BE795B">
        <w:rPr>
          <w:sz w:val="18"/>
          <w:szCs w:val="18"/>
        </w:rPr>
        <w:t>18 U.S.C. §§1001, 1010, &amp; 1012; 31 U.S.C. §§3729 &amp; 3802</w:t>
      </w:r>
    </w:p>
  </w:footnote>
  <w:footnote w:id="17">
    <w:p w14:paraId="03ADA874" w14:textId="26A9E547" w:rsidR="00025C84" w:rsidRPr="000B5237" w:rsidRDefault="00025C84">
      <w:pPr>
        <w:pStyle w:val="FootnoteText"/>
        <w:rPr>
          <w:sz w:val="18"/>
          <w:szCs w:val="18"/>
        </w:rPr>
      </w:pPr>
      <w:r w:rsidRPr="000B5237">
        <w:rPr>
          <w:rStyle w:val="FootnoteReference"/>
          <w:sz w:val="18"/>
          <w:szCs w:val="18"/>
        </w:rPr>
        <w:footnoteRef/>
      </w:r>
      <w:r w:rsidRPr="000B5237">
        <w:rPr>
          <w:sz w:val="18"/>
          <w:szCs w:val="18"/>
        </w:rPr>
        <w:t xml:space="preserve"> 24 CFR §58.47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2B910" w14:textId="3B3177CE" w:rsidR="008E6678" w:rsidRDefault="006667B2">
    <w:pPr>
      <w:pStyle w:val="Header"/>
    </w:pPr>
    <w:r>
      <w:rPr>
        <w:noProof/>
      </w:rPr>
      <mc:AlternateContent>
        <mc:Choice Requires="wps">
          <w:drawing>
            <wp:anchor distT="0" distB="0" distL="114300" distR="114300" simplePos="0" relativeHeight="251659264" behindDoc="1" locked="0" layoutInCell="0" allowOverlap="1" wp14:anchorId="555294C6" wp14:editId="28B17710">
              <wp:simplePos x="0" y="0"/>
              <wp:positionH relativeFrom="margin">
                <wp:align>center</wp:align>
              </wp:positionH>
              <wp:positionV relativeFrom="margin">
                <wp:align>center</wp:align>
              </wp:positionV>
              <wp:extent cx="6309360" cy="21031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9360" cy="2103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80D27" w14:textId="77777777" w:rsidR="006667B2" w:rsidRDefault="006667B2" w:rsidP="006667B2">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5294C6" id="_x0000_t202" coordsize="21600,21600" o:spt="202" path="m,l,21600r21600,l21600,xe">
              <v:stroke joinstyle="miter"/>
              <v:path gradientshapeok="t" o:connecttype="rect"/>
            </v:shapetype>
            <v:shape id="Text Box 19" o:spid="_x0000_s1026" type="#_x0000_t202" style="position:absolute;left:0;text-align:left;margin-left:0;margin-top:0;width:496.8pt;height:165.6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" o:allowincell="f" filled="f" stroked="f">
              <v:stroke joinstyle="round"/>
              <o:lock v:ext="edit" shapetype="t"/>
              <v:textbox style="mso-fit-shape-to-text:t">
                <w:txbxContent>
                  <w:p w14:paraId="1F180D27" w14:textId="77777777" w:rsidR="006667B2" w:rsidRDefault="006667B2" w:rsidP="006667B2">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0473574"/>
      <w:docPartObj>
        <w:docPartGallery w:val="Watermarks"/>
        <w:docPartUnique/>
      </w:docPartObj>
    </w:sdtPr>
    <w:sdtContent>
      <w:p w14:paraId="696591E8" w14:textId="1A083B60" w:rsidR="001F52AB" w:rsidRDefault="001F52AB">
        <w:pPr>
          <w:pStyle w:val="Header"/>
        </w:pPr>
        <w:r>
          <w:rPr>
            <w:noProof/>
          </w:rPr>
          <w:pict w14:anchorId="0ACFC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47DE"/>
    <w:multiLevelType w:val="hybridMultilevel"/>
    <w:tmpl w:val="92E846A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1DE5540"/>
    <w:multiLevelType w:val="hybridMultilevel"/>
    <w:tmpl w:val="6CC8C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471A"/>
    <w:multiLevelType w:val="hybridMultilevel"/>
    <w:tmpl w:val="10C0D168"/>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6331213"/>
    <w:multiLevelType w:val="hybridMultilevel"/>
    <w:tmpl w:val="32E4B3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555FE6"/>
    <w:multiLevelType w:val="hybridMultilevel"/>
    <w:tmpl w:val="F216BB70"/>
    <w:lvl w:ilvl="0" w:tplc="0409000F">
      <w:start w:val="1"/>
      <w:numFmt w:val="decimal"/>
      <w:lvlText w:val="%1."/>
      <w:lvlJc w:val="left"/>
      <w:pPr>
        <w:ind w:left="720" w:hanging="360"/>
      </w:pPr>
      <w:rPr>
        <w:rFonts w:hint="default"/>
      </w:rPr>
    </w:lvl>
    <w:lvl w:ilvl="1" w:tplc="0C1A9090">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7171D"/>
    <w:multiLevelType w:val="hybridMultilevel"/>
    <w:tmpl w:val="BB08A9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31337"/>
    <w:multiLevelType w:val="hybridMultilevel"/>
    <w:tmpl w:val="D3BA0C1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42ED"/>
    <w:multiLevelType w:val="hybridMultilevel"/>
    <w:tmpl w:val="8090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3301"/>
    <w:multiLevelType w:val="hybridMultilevel"/>
    <w:tmpl w:val="F2C2B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8E243C1"/>
    <w:multiLevelType w:val="hybridMultilevel"/>
    <w:tmpl w:val="1F5A3E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A4D2452"/>
    <w:multiLevelType w:val="hybridMultilevel"/>
    <w:tmpl w:val="79E0E2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61AA5"/>
    <w:multiLevelType w:val="hybridMultilevel"/>
    <w:tmpl w:val="CFFA6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08077B6"/>
    <w:multiLevelType w:val="hybridMultilevel"/>
    <w:tmpl w:val="4A04C8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3E10"/>
    <w:multiLevelType w:val="hybridMultilevel"/>
    <w:tmpl w:val="BF0E23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F269ED"/>
    <w:multiLevelType w:val="hybridMultilevel"/>
    <w:tmpl w:val="E388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44075"/>
    <w:multiLevelType w:val="hybridMultilevel"/>
    <w:tmpl w:val="2C9A990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3634346F"/>
    <w:multiLevelType w:val="hybridMultilevel"/>
    <w:tmpl w:val="823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54005"/>
    <w:multiLevelType w:val="multilevel"/>
    <w:tmpl w:val="6B3C4540"/>
    <w:lvl w:ilvl="0">
      <w:start w:val="10"/>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8702AD"/>
    <w:multiLevelType w:val="multilevel"/>
    <w:tmpl w:val="B56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E72590"/>
    <w:multiLevelType w:val="hybridMultilevel"/>
    <w:tmpl w:val="A2F4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D3503"/>
    <w:multiLevelType w:val="hybridMultilevel"/>
    <w:tmpl w:val="DB76C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D732399"/>
    <w:multiLevelType w:val="hybridMultilevel"/>
    <w:tmpl w:val="D79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7F3C"/>
    <w:multiLevelType w:val="hybridMultilevel"/>
    <w:tmpl w:val="CD6057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06B0F"/>
    <w:multiLevelType w:val="hybridMultilevel"/>
    <w:tmpl w:val="D8C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B06E7"/>
    <w:multiLevelType w:val="hybridMultilevel"/>
    <w:tmpl w:val="97E6B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F1B20"/>
    <w:multiLevelType w:val="hybridMultilevel"/>
    <w:tmpl w:val="A00C83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4E1D0730"/>
    <w:multiLevelType w:val="hybridMultilevel"/>
    <w:tmpl w:val="B52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30D79"/>
    <w:multiLevelType w:val="hybridMultilevel"/>
    <w:tmpl w:val="1D0803BA"/>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26DDA"/>
    <w:multiLevelType w:val="hybridMultilevel"/>
    <w:tmpl w:val="329AC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D1C9B"/>
    <w:multiLevelType w:val="hybridMultilevel"/>
    <w:tmpl w:val="88A8F858"/>
    <w:lvl w:ilvl="0" w:tplc="8CA037AE">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51971CB"/>
    <w:multiLevelType w:val="hybridMultilevel"/>
    <w:tmpl w:val="74C05B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341E7"/>
    <w:multiLevelType w:val="hybridMultilevel"/>
    <w:tmpl w:val="98627886"/>
    <w:lvl w:ilvl="0" w:tplc="52F6113E">
      <w:start w:val="1"/>
      <w:numFmt w:val="bullet"/>
      <w:pStyle w:val="CDBGBULLETSTYLE"/>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31283"/>
    <w:multiLevelType w:val="hybridMultilevel"/>
    <w:tmpl w:val="D97C2A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374CD1"/>
    <w:multiLevelType w:val="hybridMultilevel"/>
    <w:tmpl w:val="82BE352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C7E35"/>
    <w:multiLevelType w:val="hybridMultilevel"/>
    <w:tmpl w:val="748A5B5C"/>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5" w15:restartNumberingAfterBreak="0">
    <w:nsid w:val="668F403F"/>
    <w:multiLevelType w:val="hybridMultilevel"/>
    <w:tmpl w:val="D284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002CE"/>
    <w:multiLevelType w:val="hybridMultilevel"/>
    <w:tmpl w:val="74F0B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9A77AEC"/>
    <w:multiLevelType w:val="hybridMultilevel"/>
    <w:tmpl w:val="8E188FD8"/>
    <w:lvl w:ilvl="0" w:tplc="070236E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8" w15:restartNumberingAfterBreak="0">
    <w:nsid w:val="6BE32A26"/>
    <w:multiLevelType w:val="hybridMultilevel"/>
    <w:tmpl w:val="7FEC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277F8"/>
    <w:multiLevelType w:val="hybridMultilevel"/>
    <w:tmpl w:val="88140F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E8D5A7A"/>
    <w:multiLevelType w:val="hybridMultilevel"/>
    <w:tmpl w:val="1734AB2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38585F"/>
    <w:multiLevelType w:val="hybridMultilevel"/>
    <w:tmpl w:val="088EA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D4FB9"/>
    <w:multiLevelType w:val="hybridMultilevel"/>
    <w:tmpl w:val="535425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5B6DC4"/>
    <w:multiLevelType w:val="hybridMultilevel"/>
    <w:tmpl w:val="2DC8C7E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4EF32F3"/>
    <w:multiLevelType w:val="hybridMultilevel"/>
    <w:tmpl w:val="9452B2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F012C"/>
    <w:multiLevelType w:val="hybridMultilevel"/>
    <w:tmpl w:val="2416CE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AEE50B0"/>
    <w:multiLevelType w:val="multilevel"/>
    <w:tmpl w:val="6D1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9C1FCB"/>
    <w:multiLevelType w:val="hybridMultilevel"/>
    <w:tmpl w:val="B0DA2414"/>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0723B5"/>
    <w:multiLevelType w:val="hybridMultilevel"/>
    <w:tmpl w:val="6C8C9E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937327426">
    <w:abstractNumId w:val="17"/>
  </w:num>
  <w:num w:numId="2" w16cid:durableId="1404182569">
    <w:abstractNumId w:val="27"/>
  </w:num>
  <w:num w:numId="3" w16cid:durableId="1657611439">
    <w:abstractNumId w:val="4"/>
  </w:num>
  <w:num w:numId="4" w16cid:durableId="1104767843">
    <w:abstractNumId w:val="10"/>
  </w:num>
  <w:num w:numId="5" w16cid:durableId="1829518436">
    <w:abstractNumId w:val="45"/>
  </w:num>
  <w:num w:numId="6" w16cid:durableId="648946136">
    <w:abstractNumId w:val="5"/>
  </w:num>
  <w:num w:numId="7" w16cid:durableId="1158615754">
    <w:abstractNumId w:val="37"/>
  </w:num>
  <w:num w:numId="8" w16cid:durableId="1618948945">
    <w:abstractNumId w:val="31"/>
  </w:num>
  <w:num w:numId="9" w16cid:durableId="1299259501">
    <w:abstractNumId w:val="42"/>
  </w:num>
  <w:num w:numId="10" w16cid:durableId="1189641306">
    <w:abstractNumId w:val="12"/>
  </w:num>
  <w:num w:numId="11" w16cid:durableId="1395736533">
    <w:abstractNumId w:val="1"/>
  </w:num>
  <w:num w:numId="12" w16cid:durableId="1329289339">
    <w:abstractNumId w:val="13"/>
  </w:num>
  <w:num w:numId="13" w16cid:durableId="788208207">
    <w:abstractNumId w:val="36"/>
  </w:num>
  <w:num w:numId="14" w16cid:durableId="1793131016">
    <w:abstractNumId w:val="25"/>
  </w:num>
  <w:num w:numId="15" w16cid:durableId="832647557">
    <w:abstractNumId w:val="48"/>
  </w:num>
  <w:num w:numId="16" w16cid:durableId="348675930">
    <w:abstractNumId w:val="43"/>
  </w:num>
  <w:num w:numId="17" w16cid:durableId="2122263649">
    <w:abstractNumId w:val="8"/>
  </w:num>
  <w:num w:numId="18" w16cid:durableId="185364419">
    <w:abstractNumId w:val="11"/>
  </w:num>
  <w:num w:numId="19" w16cid:durableId="692807573">
    <w:abstractNumId w:val="9"/>
  </w:num>
  <w:num w:numId="20" w16cid:durableId="1052003880">
    <w:abstractNumId w:val="47"/>
  </w:num>
  <w:num w:numId="21" w16cid:durableId="957369381">
    <w:abstractNumId w:val="44"/>
  </w:num>
  <w:num w:numId="22" w16cid:durableId="1439181069">
    <w:abstractNumId w:val="22"/>
  </w:num>
  <w:num w:numId="23" w16cid:durableId="1620792990">
    <w:abstractNumId w:val="6"/>
  </w:num>
  <w:num w:numId="24" w16cid:durableId="1699811598">
    <w:abstractNumId w:val="30"/>
  </w:num>
  <w:num w:numId="25" w16cid:durableId="1531843655">
    <w:abstractNumId w:val="24"/>
  </w:num>
  <w:num w:numId="26" w16cid:durableId="501706763">
    <w:abstractNumId w:val="38"/>
  </w:num>
  <w:num w:numId="27" w16cid:durableId="2081323911">
    <w:abstractNumId w:val="29"/>
  </w:num>
  <w:num w:numId="28" w16cid:durableId="2073579074">
    <w:abstractNumId w:val="3"/>
  </w:num>
  <w:num w:numId="29" w16cid:durableId="786436769">
    <w:abstractNumId w:val="18"/>
  </w:num>
  <w:num w:numId="30" w16cid:durableId="697006443">
    <w:abstractNumId w:val="35"/>
  </w:num>
  <w:num w:numId="31" w16cid:durableId="1944221855">
    <w:abstractNumId w:val="14"/>
  </w:num>
  <w:num w:numId="32" w16cid:durableId="1166478898">
    <w:abstractNumId w:val="26"/>
  </w:num>
  <w:num w:numId="33" w16cid:durableId="501942121">
    <w:abstractNumId w:val="7"/>
  </w:num>
  <w:num w:numId="34" w16cid:durableId="419103551">
    <w:abstractNumId w:val="19"/>
  </w:num>
  <w:num w:numId="35" w16cid:durableId="346297412">
    <w:abstractNumId w:val="16"/>
  </w:num>
  <w:num w:numId="36" w16cid:durableId="835151021">
    <w:abstractNumId w:val="28"/>
  </w:num>
  <w:num w:numId="37" w16cid:durableId="288972451">
    <w:abstractNumId w:val="33"/>
  </w:num>
  <w:num w:numId="38" w16cid:durableId="873888876">
    <w:abstractNumId w:val="40"/>
  </w:num>
  <w:num w:numId="39" w16cid:durableId="1680110676">
    <w:abstractNumId w:val="2"/>
  </w:num>
  <w:num w:numId="40" w16cid:durableId="322586426">
    <w:abstractNumId w:val="34"/>
  </w:num>
  <w:num w:numId="41" w16cid:durableId="1176576861">
    <w:abstractNumId w:val="32"/>
  </w:num>
  <w:num w:numId="42" w16cid:durableId="1629433356">
    <w:abstractNumId w:val="0"/>
  </w:num>
  <w:num w:numId="43" w16cid:durableId="228001225">
    <w:abstractNumId w:val="15"/>
  </w:num>
  <w:num w:numId="44" w16cid:durableId="985818047">
    <w:abstractNumId w:val="39"/>
  </w:num>
  <w:num w:numId="45" w16cid:durableId="1889993509">
    <w:abstractNumId w:val="23"/>
  </w:num>
  <w:num w:numId="46" w16cid:durableId="1849979005">
    <w:abstractNumId w:val="46"/>
  </w:num>
  <w:num w:numId="47" w16cid:durableId="50883819">
    <w:abstractNumId w:val="20"/>
  </w:num>
  <w:num w:numId="48" w16cid:durableId="768162291">
    <w:abstractNumId w:val="41"/>
  </w:num>
  <w:num w:numId="49" w16cid:durableId="20647145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trackRevision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B2"/>
    <w:rsid w:val="0000550F"/>
    <w:rsid w:val="0000563F"/>
    <w:rsid w:val="00011137"/>
    <w:rsid w:val="00017C61"/>
    <w:rsid w:val="00025C84"/>
    <w:rsid w:val="000402B0"/>
    <w:rsid w:val="0006302F"/>
    <w:rsid w:val="00065638"/>
    <w:rsid w:val="00072778"/>
    <w:rsid w:val="00082B34"/>
    <w:rsid w:val="000A03BF"/>
    <w:rsid w:val="000A5359"/>
    <w:rsid w:val="000B385C"/>
    <w:rsid w:val="000B5237"/>
    <w:rsid w:val="000E1AA0"/>
    <w:rsid w:val="000F78A2"/>
    <w:rsid w:val="0010468B"/>
    <w:rsid w:val="0010551D"/>
    <w:rsid w:val="00111423"/>
    <w:rsid w:val="00145AFA"/>
    <w:rsid w:val="00145CD1"/>
    <w:rsid w:val="00147DB2"/>
    <w:rsid w:val="00170FAE"/>
    <w:rsid w:val="00182CAC"/>
    <w:rsid w:val="0019663A"/>
    <w:rsid w:val="001A5B62"/>
    <w:rsid w:val="001C4EEA"/>
    <w:rsid w:val="001E60FD"/>
    <w:rsid w:val="001F50C6"/>
    <w:rsid w:val="001F52AB"/>
    <w:rsid w:val="00211D6D"/>
    <w:rsid w:val="00215694"/>
    <w:rsid w:val="00223AA2"/>
    <w:rsid w:val="00226EBF"/>
    <w:rsid w:val="00233D4A"/>
    <w:rsid w:val="002345CC"/>
    <w:rsid w:val="00262401"/>
    <w:rsid w:val="002655B0"/>
    <w:rsid w:val="0028777A"/>
    <w:rsid w:val="0029020A"/>
    <w:rsid w:val="002A23E0"/>
    <w:rsid w:val="002A5B16"/>
    <w:rsid w:val="002D2D8A"/>
    <w:rsid w:val="002D54EC"/>
    <w:rsid w:val="002F1E1A"/>
    <w:rsid w:val="002F627C"/>
    <w:rsid w:val="00325BAD"/>
    <w:rsid w:val="003404D5"/>
    <w:rsid w:val="003439BC"/>
    <w:rsid w:val="00347442"/>
    <w:rsid w:val="003503DF"/>
    <w:rsid w:val="00354A82"/>
    <w:rsid w:val="00361226"/>
    <w:rsid w:val="00372E88"/>
    <w:rsid w:val="003A387D"/>
    <w:rsid w:val="003B1096"/>
    <w:rsid w:val="003C3B12"/>
    <w:rsid w:val="003D4020"/>
    <w:rsid w:val="00434ABA"/>
    <w:rsid w:val="00471710"/>
    <w:rsid w:val="00474430"/>
    <w:rsid w:val="00474892"/>
    <w:rsid w:val="004A4E7A"/>
    <w:rsid w:val="004B5000"/>
    <w:rsid w:val="004C55B9"/>
    <w:rsid w:val="00512849"/>
    <w:rsid w:val="005503DB"/>
    <w:rsid w:val="0055190D"/>
    <w:rsid w:val="00551C4A"/>
    <w:rsid w:val="005540D8"/>
    <w:rsid w:val="00557D01"/>
    <w:rsid w:val="00562E24"/>
    <w:rsid w:val="005908FB"/>
    <w:rsid w:val="005A77A8"/>
    <w:rsid w:val="005B091C"/>
    <w:rsid w:val="005B4469"/>
    <w:rsid w:val="005B78FD"/>
    <w:rsid w:val="005F1887"/>
    <w:rsid w:val="005F7387"/>
    <w:rsid w:val="00600EC9"/>
    <w:rsid w:val="00622D8D"/>
    <w:rsid w:val="0063616A"/>
    <w:rsid w:val="006512F2"/>
    <w:rsid w:val="006667B2"/>
    <w:rsid w:val="00682498"/>
    <w:rsid w:val="006C46F7"/>
    <w:rsid w:val="006C7169"/>
    <w:rsid w:val="006D6D31"/>
    <w:rsid w:val="0073650B"/>
    <w:rsid w:val="00742099"/>
    <w:rsid w:val="007545C9"/>
    <w:rsid w:val="0076081B"/>
    <w:rsid w:val="00765F4A"/>
    <w:rsid w:val="00766DE9"/>
    <w:rsid w:val="0077127F"/>
    <w:rsid w:val="00782E51"/>
    <w:rsid w:val="00791A6C"/>
    <w:rsid w:val="00797C31"/>
    <w:rsid w:val="007A6266"/>
    <w:rsid w:val="007B70BD"/>
    <w:rsid w:val="007D171D"/>
    <w:rsid w:val="007D25D1"/>
    <w:rsid w:val="007D4379"/>
    <w:rsid w:val="007D661B"/>
    <w:rsid w:val="007D6BE2"/>
    <w:rsid w:val="007E5785"/>
    <w:rsid w:val="00805EC0"/>
    <w:rsid w:val="0080743F"/>
    <w:rsid w:val="00814D23"/>
    <w:rsid w:val="00820275"/>
    <w:rsid w:val="00824446"/>
    <w:rsid w:val="008513B2"/>
    <w:rsid w:val="008649BB"/>
    <w:rsid w:val="00866CF0"/>
    <w:rsid w:val="00867C1F"/>
    <w:rsid w:val="00891804"/>
    <w:rsid w:val="008B388E"/>
    <w:rsid w:val="008B669F"/>
    <w:rsid w:val="008C4078"/>
    <w:rsid w:val="008E6678"/>
    <w:rsid w:val="008F22E7"/>
    <w:rsid w:val="009005A8"/>
    <w:rsid w:val="00915542"/>
    <w:rsid w:val="0092638D"/>
    <w:rsid w:val="0093370C"/>
    <w:rsid w:val="00933DD6"/>
    <w:rsid w:val="009354B9"/>
    <w:rsid w:val="00952DF2"/>
    <w:rsid w:val="00955CBA"/>
    <w:rsid w:val="009853C1"/>
    <w:rsid w:val="009A611E"/>
    <w:rsid w:val="009B48D8"/>
    <w:rsid w:val="009D2BCC"/>
    <w:rsid w:val="009E7DC7"/>
    <w:rsid w:val="009F0651"/>
    <w:rsid w:val="009F7882"/>
    <w:rsid w:val="00A017EB"/>
    <w:rsid w:val="00A047D5"/>
    <w:rsid w:val="00A244E5"/>
    <w:rsid w:val="00A456B6"/>
    <w:rsid w:val="00A510B5"/>
    <w:rsid w:val="00A54685"/>
    <w:rsid w:val="00A752AF"/>
    <w:rsid w:val="00A87C8E"/>
    <w:rsid w:val="00A97352"/>
    <w:rsid w:val="00AB1908"/>
    <w:rsid w:val="00AC2B2E"/>
    <w:rsid w:val="00AC3827"/>
    <w:rsid w:val="00AE17BC"/>
    <w:rsid w:val="00AF1662"/>
    <w:rsid w:val="00B00732"/>
    <w:rsid w:val="00B02BC4"/>
    <w:rsid w:val="00B236D8"/>
    <w:rsid w:val="00B302E8"/>
    <w:rsid w:val="00B4220F"/>
    <w:rsid w:val="00B45217"/>
    <w:rsid w:val="00B65B4D"/>
    <w:rsid w:val="00B94CA2"/>
    <w:rsid w:val="00BA6804"/>
    <w:rsid w:val="00BB3240"/>
    <w:rsid w:val="00BE00E5"/>
    <w:rsid w:val="00BE795B"/>
    <w:rsid w:val="00BF5562"/>
    <w:rsid w:val="00C0402F"/>
    <w:rsid w:val="00C10F65"/>
    <w:rsid w:val="00C1654E"/>
    <w:rsid w:val="00C3364E"/>
    <w:rsid w:val="00C45607"/>
    <w:rsid w:val="00C52244"/>
    <w:rsid w:val="00C6353B"/>
    <w:rsid w:val="00C81BDB"/>
    <w:rsid w:val="00C828A0"/>
    <w:rsid w:val="00CA70D9"/>
    <w:rsid w:val="00CC2E2E"/>
    <w:rsid w:val="00CE0F2A"/>
    <w:rsid w:val="00D2449F"/>
    <w:rsid w:val="00D53013"/>
    <w:rsid w:val="00D64A4E"/>
    <w:rsid w:val="00D67B91"/>
    <w:rsid w:val="00D754F8"/>
    <w:rsid w:val="00D80E09"/>
    <w:rsid w:val="00DA0BFE"/>
    <w:rsid w:val="00DA26C0"/>
    <w:rsid w:val="00DB24DF"/>
    <w:rsid w:val="00DB602A"/>
    <w:rsid w:val="00DB656A"/>
    <w:rsid w:val="00DC0B3C"/>
    <w:rsid w:val="00DC3C2C"/>
    <w:rsid w:val="00DF55A1"/>
    <w:rsid w:val="00E05BB9"/>
    <w:rsid w:val="00E12025"/>
    <w:rsid w:val="00E20847"/>
    <w:rsid w:val="00E21346"/>
    <w:rsid w:val="00E52CE1"/>
    <w:rsid w:val="00E733B3"/>
    <w:rsid w:val="00EC2420"/>
    <w:rsid w:val="00EE2BAE"/>
    <w:rsid w:val="00F25213"/>
    <w:rsid w:val="00F35024"/>
    <w:rsid w:val="00F36CE3"/>
    <w:rsid w:val="00F423C9"/>
    <w:rsid w:val="00F547B6"/>
    <w:rsid w:val="00F8388D"/>
    <w:rsid w:val="00F90F09"/>
    <w:rsid w:val="00F93E69"/>
    <w:rsid w:val="00FA2D28"/>
    <w:rsid w:val="00FA5D91"/>
    <w:rsid w:val="00FB39EA"/>
    <w:rsid w:val="00FD0341"/>
    <w:rsid w:val="00FD0FF1"/>
    <w:rsid w:val="00FD1D35"/>
    <w:rsid w:val="00FF13FB"/>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B920"/>
  <w15:chartTrackingRefBased/>
  <w15:docId w15:val="{BEA49340-4774-4ED3-AE4B-974763DF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75"/>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6667B2"/>
    <w:pPr>
      <w:keepNext/>
      <w:jc w:val="center"/>
      <w:outlineLvl w:val="0"/>
    </w:pPr>
    <w:rPr>
      <w:b/>
      <w:sz w:val="40"/>
      <w:szCs w:val="20"/>
      <w:u w:val="single"/>
    </w:rPr>
  </w:style>
  <w:style w:type="paragraph" w:styleId="Heading2">
    <w:name w:val="heading 2"/>
    <w:basedOn w:val="Normal"/>
    <w:next w:val="Normal"/>
    <w:link w:val="Heading2Char"/>
    <w:qFormat/>
    <w:rsid w:val="006667B2"/>
    <w:pPr>
      <w:keepNext/>
      <w:outlineLvl w:val="1"/>
    </w:pPr>
    <w:rPr>
      <w:b/>
      <w:sz w:val="28"/>
      <w:szCs w:val="20"/>
      <w:u w:val="single"/>
    </w:rPr>
  </w:style>
  <w:style w:type="paragraph" w:styleId="Heading3">
    <w:name w:val="heading 3"/>
    <w:basedOn w:val="Normal"/>
    <w:link w:val="Heading3Char"/>
    <w:qFormat/>
    <w:rsid w:val="006667B2"/>
    <w:pPr>
      <w:keepNext/>
      <w:numPr>
        <w:ilvl w:val="2"/>
        <w:numId w:val="1"/>
      </w:numPr>
      <w:suppressAutoHyphens/>
      <w:spacing w:after="240"/>
      <w:outlineLvl w:val="2"/>
    </w:pPr>
    <w:rPr>
      <w:b/>
      <w:szCs w:val="20"/>
    </w:rPr>
  </w:style>
  <w:style w:type="paragraph" w:styleId="Heading4">
    <w:name w:val="heading 4"/>
    <w:basedOn w:val="Normal"/>
    <w:link w:val="Heading4Char"/>
    <w:qFormat/>
    <w:rsid w:val="006667B2"/>
    <w:pPr>
      <w:keepNext/>
      <w:numPr>
        <w:ilvl w:val="3"/>
        <w:numId w:val="1"/>
      </w:numPr>
      <w:suppressAutoHyphens/>
      <w:spacing w:after="120"/>
      <w:outlineLvl w:val="3"/>
    </w:pPr>
    <w:rPr>
      <w:b/>
      <w:i/>
      <w:szCs w:val="20"/>
    </w:rPr>
  </w:style>
  <w:style w:type="paragraph" w:styleId="Heading5">
    <w:name w:val="heading 5"/>
    <w:basedOn w:val="Normal"/>
    <w:next w:val="Normal"/>
    <w:link w:val="Heading5Char"/>
    <w:qFormat/>
    <w:rsid w:val="006667B2"/>
    <w:pPr>
      <w:keepNext/>
      <w:jc w:val="center"/>
      <w:outlineLvl w:val="4"/>
    </w:pPr>
    <w:rPr>
      <w:b/>
      <w:sz w:val="44"/>
      <w:szCs w:val="44"/>
    </w:rPr>
  </w:style>
  <w:style w:type="paragraph" w:styleId="Heading6">
    <w:name w:val="heading 6"/>
    <w:basedOn w:val="Normal"/>
    <w:next w:val="Normal"/>
    <w:link w:val="Heading6Char"/>
    <w:qFormat/>
    <w:rsid w:val="006667B2"/>
    <w:pPr>
      <w:keepNext/>
      <w:pBdr>
        <w:bottom w:val="single" w:sz="4" w:space="1" w:color="auto"/>
      </w:pBdr>
      <w:jc w:val="center"/>
      <w:outlineLvl w:val="5"/>
    </w:pPr>
    <w:rPr>
      <w:b/>
      <w:sz w:val="52"/>
      <w:szCs w:val="52"/>
    </w:rPr>
  </w:style>
  <w:style w:type="paragraph" w:styleId="Heading7">
    <w:name w:val="heading 7"/>
    <w:basedOn w:val="Normal"/>
    <w:next w:val="Normal"/>
    <w:link w:val="Heading7Char"/>
    <w:qFormat/>
    <w:rsid w:val="006667B2"/>
    <w:pPr>
      <w:keepNext/>
      <w:outlineLvl w:val="6"/>
    </w:pPr>
    <w:rPr>
      <w:b/>
      <w:sz w:val="28"/>
      <w:szCs w:val="28"/>
    </w:rPr>
  </w:style>
  <w:style w:type="paragraph" w:styleId="Heading8">
    <w:name w:val="heading 8"/>
    <w:basedOn w:val="Normal"/>
    <w:next w:val="Normal"/>
    <w:link w:val="Heading8Char"/>
    <w:qFormat/>
    <w:rsid w:val="006667B2"/>
    <w:pPr>
      <w:keepNext/>
      <w:outlineLvl w:val="7"/>
    </w:pPr>
    <w:rPr>
      <w:b/>
      <w:sz w:val="40"/>
      <w:szCs w:val="40"/>
    </w:rPr>
  </w:style>
  <w:style w:type="paragraph" w:styleId="Heading9">
    <w:name w:val="heading 9"/>
    <w:basedOn w:val="Normal"/>
    <w:next w:val="Normal"/>
    <w:link w:val="Heading9Char"/>
    <w:qFormat/>
    <w:rsid w:val="006667B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7B2"/>
    <w:rPr>
      <w:rFonts w:ascii="Arial" w:eastAsia="Times New Roman" w:hAnsi="Arial" w:cs="Times New Roman"/>
      <w:b/>
      <w:sz w:val="40"/>
      <w:szCs w:val="20"/>
      <w:u w:val="single"/>
    </w:rPr>
  </w:style>
  <w:style w:type="character" w:customStyle="1" w:styleId="Heading2Char">
    <w:name w:val="Heading 2 Char"/>
    <w:basedOn w:val="DefaultParagraphFont"/>
    <w:link w:val="Heading2"/>
    <w:rsid w:val="006667B2"/>
    <w:rPr>
      <w:rFonts w:ascii="Arial" w:eastAsia="Times New Roman" w:hAnsi="Arial" w:cs="Times New Roman"/>
      <w:b/>
      <w:sz w:val="28"/>
      <w:szCs w:val="20"/>
      <w:u w:val="single"/>
    </w:rPr>
  </w:style>
  <w:style w:type="character" w:customStyle="1" w:styleId="Heading3Char">
    <w:name w:val="Heading 3 Char"/>
    <w:basedOn w:val="DefaultParagraphFont"/>
    <w:link w:val="Heading3"/>
    <w:rsid w:val="006667B2"/>
    <w:rPr>
      <w:rFonts w:ascii="Arial" w:eastAsia="Times New Roman" w:hAnsi="Arial" w:cs="Times New Roman"/>
      <w:b/>
      <w:sz w:val="24"/>
      <w:szCs w:val="20"/>
    </w:rPr>
  </w:style>
  <w:style w:type="character" w:customStyle="1" w:styleId="Heading4Char">
    <w:name w:val="Heading 4 Char"/>
    <w:basedOn w:val="DefaultParagraphFont"/>
    <w:link w:val="Heading4"/>
    <w:rsid w:val="006667B2"/>
    <w:rPr>
      <w:rFonts w:ascii="Arial" w:eastAsia="Times New Roman" w:hAnsi="Arial" w:cs="Times New Roman"/>
      <w:b/>
      <w:i/>
      <w:szCs w:val="20"/>
    </w:rPr>
  </w:style>
  <w:style w:type="character" w:customStyle="1" w:styleId="Heading5Char">
    <w:name w:val="Heading 5 Char"/>
    <w:basedOn w:val="DefaultParagraphFont"/>
    <w:link w:val="Heading5"/>
    <w:rsid w:val="006667B2"/>
    <w:rPr>
      <w:rFonts w:ascii="Times New Roman" w:eastAsia="Times New Roman" w:hAnsi="Times New Roman" w:cs="Times New Roman"/>
      <w:b/>
      <w:sz w:val="44"/>
      <w:szCs w:val="44"/>
    </w:rPr>
  </w:style>
  <w:style w:type="character" w:customStyle="1" w:styleId="Heading6Char">
    <w:name w:val="Heading 6 Char"/>
    <w:basedOn w:val="DefaultParagraphFont"/>
    <w:link w:val="Heading6"/>
    <w:rsid w:val="006667B2"/>
    <w:rPr>
      <w:rFonts w:ascii="Times New Roman" w:eastAsia="Times New Roman" w:hAnsi="Times New Roman" w:cs="Times New Roman"/>
      <w:b/>
      <w:sz w:val="52"/>
      <w:szCs w:val="52"/>
    </w:rPr>
  </w:style>
  <w:style w:type="character" w:customStyle="1" w:styleId="Heading7Char">
    <w:name w:val="Heading 7 Char"/>
    <w:basedOn w:val="DefaultParagraphFont"/>
    <w:link w:val="Heading7"/>
    <w:rsid w:val="006667B2"/>
    <w:rPr>
      <w:rFonts w:ascii="Times New Roman" w:eastAsia="Times New Roman" w:hAnsi="Times New Roman" w:cs="Times New Roman"/>
      <w:b/>
      <w:sz w:val="28"/>
      <w:szCs w:val="28"/>
    </w:rPr>
  </w:style>
  <w:style w:type="character" w:customStyle="1" w:styleId="Heading8Char">
    <w:name w:val="Heading 8 Char"/>
    <w:basedOn w:val="DefaultParagraphFont"/>
    <w:link w:val="Heading8"/>
    <w:rsid w:val="006667B2"/>
    <w:rPr>
      <w:rFonts w:ascii="Times New Roman" w:eastAsia="Times New Roman" w:hAnsi="Times New Roman" w:cs="Times New Roman"/>
      <w:b/>
      <w:sz w:val="40"/>
      <w:szCs w:val="40"/>
    </w:rPr>
  </w:style>
  <w:style w:type="character" w:customStyle="1" w:styleId="Heading9Char">
    <w:name w:val="Heading 9 Char"/>
    <w:basedOn w:val="DefaultParagraphFont"/>
    <w:link w:val="Heading9"/>
    <w:rsid w:val="006667B2"/>
    <w:rPr>
      <w:rFonts w:ascii="Times New Roman" w:eastAsia="Times New Roman" w:hAnsi="Times New Roman" w:cs="Times New Roman"/>
      <w:b/>
      <w:sz w:val="24"/>
      <w:szCs w:val="24"/>
    </w:rPr>
  </w:style>
  <w:style w:type="paragraph" w:customStyle="1" w:styleId="Section">
    <w:name w:val="Section"/>
    <w:basedOn w:val="Normal"/>
    <w:next w:val="Normal"/>
    <w:rsid w:val="006667B2"/>
    <w:pPr>
      <w:keepNext/>
      <w:spacing w:after="240"/>
      <w:jc w:val="center"/>
    </w:pPr>
    <w:rPr>
      <w:rFonts w:ascii="Arial Black" w:hAnsi="Arial Black"/>
      <w:smallCaps/>
      <w:sz w:val="32"/>
      <w:szCs w:val="20"/>
    </w:rPr>
  </w:style>
  <w:style w:type="paragraph" w:customStyle="1" w:styleId="CDBGCHAPTERTITLE">
    <w:name w:val="CDBG CHAPTER TITLE"/>
    <w:basedOn w:val="Heading5"/>
    <w:qFormat/>
    <w:rsid w:val="006667B2"/>
    <w:rPr>
      <w:rFonts w:cs="Arial"/>
      <w:sz w:val="52"/>
      <w:szCs w:val="52"/>
    </w:rPr>
  </w:style>
  <w:style w:type="paragraph" w:customStyle="1" w:styleId="CDBGSUBHEAD-Centered">
    <w:name w:val="CDBG SUB HEAD-Centered"/>
    <w:basedOn w:val="Heading1"/>
    <w:qFormat/>
    <w:rsid w:val="006667B2"/>
  </w:style>
  <w:style w:type="paragraph" w:customStyle="1" w:styleId="CDBGBULLETSTYLE">
    <w:name w:val="CDBG BULLET STYLE"/>
    <w:basedOn w:val="CDBGBODYSTYLE"/>
    <w:qFormat/>
    <w:rsid w:val="006667B2"/>
    <w:pPr>
      <w:numPr>
        <w:numId w:val="8"/>
      </w:numPr>
      <w:jc w:val="left"/>
    </w:pPr>
  </w:style>
  <w:style w:type="paragraph" w:customStyle="1" w:styleId="CDBGBODYSTYLE">
    <w:name w:val="CDBG BODY STYLE"/>
    <w:basedOn w:val="Normal"/>
    <w:qFormat/>
    <w:rsid w:val="006667B2"/>
    <w:pPr>
      <w:spacing w:line="280" w:lineRule="exact"/>
    </w:pPr>
    <w:rPr>
      <w:rFonts w:cs="Arial"/>
      <w:szCs w:val="22"/>
    </w:rPr>
  </w:style>
  <w:style w:type="paragraph" w:customStyle="1" w:styleId="dot">
    <w:name w:val="dot"/>
    <w:basedOn w:val="Normal"/>
    <w:rsid w:val="006667B2"/>
    <w:pPr>
      <w:tabs>
        <w:tab w:val="left" w:pos="-720"/>
      </w:tabs>
      <w:spacing w:after="240"/>
    </w:pPr>
    <w:rPr>
      <w:szCs w:val="20"/>
    </w:rPr>
  </w:style>
  <w:style w:type="paragraph" w:styleId="Title">
    <w:name w:val="Title"/>
    <w:basedOn w:val="Normal"/>
    <w:link w:val="TitleChar"/>
    <w:uiPriority w:val="99"/>
    <w:qFormat/>
    <w:rsid w:val="006667B2"/>
    <w:pPr>
      <w:spacing w:before="120" w:after="120"/>
      <w:jc w:val="center"/>
    </w:pPr>
    <w:rPr>
      <w:b/>
      <w:kern w:val="28"/>
      <w:szCs w:val="20"/>
      <w:lang w:val="x-none" w:eastAsia="x-none"/>
    </w:rPr>
  </w:style>
  <w:style w:type="character" w:customStyle="1" w:styleId="TitleChar">
    <w:name w:val="Title Char"/>
    <w:basedOn w:val="DefaultParagraphFont"/>
    <w:link w:val="Title"/>
    <w:uiPriority w:val="99"/>
    <w:rsid w:val="006667B2"/>
    <w:rPr>
      <w:rFonts w:ascii="Arial" w:eastAsia="Times New Roman" w:hAnsi="Arial" w:cs="Times New Roman"/>
      <w:b/>
      <w:kern w:val="28"/>
      <w:sz w:val="24"/>
      <w:szCs w:val="20"/>
      <w:lang w:val="x-none" w:eastAsia="x-none"/>
    </w:rPr>
  </w:style>
  <w:style w:type="character" w:styleId="Hyperlink">
    <w:name w:val="Hyperlink"/>
    <w:uiPriority w:val="99"/>
    <w:rsid w:val="006667B2"/>
    <w:rPr>
      <w:b/>
      <w:bCs/>
      <w:color w:val="990000"/>
      <w:u w:val="single"/>
    </w:rPr>
  </w:style>
  <w:style w:type="paragraph" w:styleId="NormalWeb">
    <w:name w:val="Normal (Web)"/>
    <w:basedOn w:val="Normal"/>
    <w:uiPriority w:val="99"/>
    <w:rsid w:val="006667B2"/>
    <w:pPr>
      <w:spacing w:before="100" w:beforeAutospacing="1" w:after="100" w:afterAutospacing="1"/>
    </w:pPr>
    <w:rPr>
      <w:rFonts w:ascii="Tahoma" w:hAnsi="Tahoma" w:cs="Tahoma"/>
    </w:rPr>
  </w:style>
  <w:style w:type="paragraph" w:styleId="HTMLPreformatted">
    <w:name w:val="HTML Preformatted"/>
    <w:basedOn w:val="Normal"/>
    <w:link w:val="HTMLPreformattedChar"/>
    <w:rsid w:val="0066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 w:val="20"/>
      <w:szCs w:val="20"/>
    </w:rPr>
  </w:style>
  <w:style w:type="character" w:customStyle="1" w:styleId="HTMLPreformattedChar">
    <w:name w:val="HTML Preformatted Char"/>
    <w:basedOn w:val="DefaultParagraphFont"/>
    <w:link w:val="HTMLPreformatted"/>
    <w:rsid w:val="006667B2"/>
    <w:rPr>
      <w:rFonts w:ascii="Arial" w:eastAsia="Times New Roman" w:hAnsi="Arial" w:cs="Arial"/>
      <w:sz w:val="20"/>
      <w:szCs w:val="20"/>
    </w:rPr>
  </w:style>
  <w:style w:type="paragraph" w:styleId="Header">
    <w:name w:val="header"/>
    <w:basedOn w:val="Normal"/>
    <w:link w:val="HeaderChar"/>
    <w:rsid w:val="006667B2"/>
    <w:pPr>
      <w:tabs>
        <w:tab w:val="center" w:pos="4320"/>
        <w:tab w:val="right" w:pos="8640"/>
      </w:tabs>
    </w:pPr>
  </w:style>
  <w:style w:type="character" w:customStyle="1" w:styleId="HeaderChar">
    <w:name w:val="Header Char"/>
    <w:basedOn w:val="DefaultParagraphFont"/>
    <w:link w:val="Header"/>
    <w:rsid w:val="006667B2"/>
    <w:rPr>
      <w:rFonts w:ascii="Times New Roman" w:eastAsia="Times New Roman" w:hAnsi="Times New Roman" w:cs="Times New Roman"/>
      <w:sz w:val="24"/>
      <w:szCs w:val="24"/>
    </w:rPr>
  </w:style>
  <w:style w:type="paragraph" w:styleId="Footer">
    <w:name w:val="footer"/>
    <w:basedOn w:val="Normal"/>
    <w:link w:val="FooterChar"/>
    <w:uiPriority w:val="99"/>
    <w:rsid w:val="006667B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667B2"/>
    <w:rPr>
      <w:rFonts w:ascii="Times New Roman" w:eastAsia="Times New Roman" w:hAnsi="Times New Roman" w:cs="Times New Roman"/>
      <w:sz w:val="24"/>
      <w:szCs w:val="24"/>
      <w:lang w:val="x-none" w:eastAsia="x-none"/>
    </w:rPr>
  </w:style>
  <w:style w:type="character" w:styleId="PageNumber">
    <w:name w:val="page number"/>
    <w:basedOn w:val="DefaultParagraphFont"/>
    <w:rsid w:val="006667B2"/>
  </w:style>
  <w:style w:type="paragraph" w:styleId="BalloonText">
    <w:name w:val="Balloon Text"/>
    <w:basedOn w:val="Normal"/>
    <w:link w:val="BalloonTextChar"/>
    <w:semiHidden/>
    <w:rsid w:val="006667B2"/>
    <w:rPr>
      <w:rFonts w:ascii="Tahoma" w:hAnsi="Tahoma" w:cs="Tahoma"/>
      <w:sz w:val="16"/>
      <w:szCs w:val="16"/>
    </w:rPr>
  </w:style>
  <w:style w:type="character" w:customStyle="1" w:styleId="BalloonTextChar">
    <w:name w:val="Balloon Text Char"/>
    <w:basedOn w:val="DefaultParagraphFont"/>
    <w:link w:val="BalloonText"/>
    <w:semiHidden/>
    <w:rsid w:val="006667B2"/>
    <w:rPr>
      <w:rFonts w:ascii="Tahoma" w:eastAsia="Times New Roman" w:hAnsi="Tahoma" w:cs="Tahoma"/>
      <w:sz w:val="16"/>
      <w:szCs w:val="16"/>
    </w:rPr>
  </w:style>
  <w:style w:type="character" w:styleId="Strong">
    <w:name w:val="Strong"/>
    <w:qFormat/>
    <w:rsid w:val="006667B2"/>
    <w:rPr>
      <w:b/>
      <w:bCs/>
    </w:rPr>
  </w:style>
  <w:style w:type="paragraph" w:styleId="EndnoteText">
    <w:name w:val="endnote text"/>
    <w:basedOn w:val="Normal"/>
    <w:link w:val="EndnoteTextChar"/>
    <w:semiHidden/>
    <w:rsid w:val="006667B2"/>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6667B2"/>
    <w:rPr>
      <w:rFonts w:ascii="Courier New" w:eastAsia="Times New Roman" w:hAnsi="Courier New" w:cs="Times New Roman"/>
      <w:sz w:val="20"/>
      <w:szCs w:val="24"/>
    </w:rPr>
  </w:style>
  <w:style w:type="paragraph" w:styleId="Subtitle">
    <w:name w:val="Subtitle"/>
    <w:basedOn w:val="Normal"/>
    <w:link w:val="SubtitleChar"/>
    <w:qFormat/>
    <w:rsid w:val="006667B2"/>
    <w:pPr>
      <w:overflowPunct w:val="0"/>
      <w:autoSpaceDE w:val="0"/>
      <w:autoSpaceDN w:val="0"/>
      <w:adjustRightInd w:val="0"/>
      <w:jc w:val="center"/>
      <w:textAlignment w:val="baseline"/>
    </w:pPr>
    <w:rPr>
      <w:sz w:val="28"/>
      <w:szCs w:val="20"/>
    </w:rPr>
  </w:style>
  <w:style w:type="character" w:customStyle="1" w:styleId="SubtitleChar">
    <w:name w:val="Subtitle Char"/>
    <w:basedOn w:val="DefaultParagraphFont"/>
    <w:link w:val="Subtitle"/>
    <w:rsid w:val="006667B2"/>
    <w:rPr>
      <w:rFonts w:ascii="Times New Roman" w:eastAsia="Times New Roman" w:hAnsi="Times New Roman" w:cs="Times New Roman"/>
      <w:sz w:val="28"/>
      <w:szCs w:val="20"/>
    </w:rPr>
  </w:style>
  <w:style w:type="paragraph" w:customStyle="1" w:styleId="Default">
    <w:name w:val="Default"/>
    <w:rsid w:val="006667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QuickA">
    <w:name w:val="Quick A."/>
    <w:rsid w:val="006667B2"/>
    <w:rPr>
      <w:rFonts w:ascii="Arial" w:hAnsi="Arial" w:cs="Arial"/>
      <w:b/>
      <w:bCs/>
      <w:sz w:val="18"/>
      <w:szCs w:val="18"/>
    </w:rPr>
  </w:style>
  <w:style w:type="character" w:customStyle="1" w:styleId="Quick1">
    <w:name w:val="Quick 1."/>
    <w:rsid w:val="006667B2"/>
    <w:rPr>
      <w:rFonts w:ascii="Arial" w:hAnsi="Arial" w:cs="Arial"/>
      <w:b/>
      <w:bCs/>
      <w:sz w:val="18"/>
      <w:szCs w:val="18"/>
    </w:rPr>
  </w:style>
  <w:style w:type="table" w:styleId="TableGrid">
    <w:name w:val="Table Grid"/>
    <w:basedOn w:val="TableNormal"/>
    <w:rsid w:val="00666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6667B2"/>
    <w:rPr>
      <w:sz w:val="20"/>
      <w:szCs w:val="20"/>
    </w:rPr>
  </w:style>
  <w:style w:type="character" w:customStyle="1" w:styleId="CommentTextChar">
    <w:name w:val="Comment Text Char"/>
    <w:basedOn w:val="DefaultParagraphFont"/>
    <w:link w:val="CommentText"/>
    <w:rsid w:val="006667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667B2"/>
    <w:rPr>
      <w:b/>
      <w:bCs/>
      <w:lang w:val="x-none" w:eastAsia="x-none"/>
    </w:rPr>
  </w:style>
  <w:style w:type="character" w:customStyle="1" w:styleId="CommentSubjectChar">
    <w:name w:val="Comment Subject Char"/>
    <w:basedOn w:val="CommentTextChar"/>
    <w:link w:val="CommentSubject"/>
    <w:rsid w:val="006667B2"/>
    <w:rPr>
      <w:rFonts w:ascii="Times New Roman" w:eastAsia="Times New Roman" w:hAnsi="Times New Roman" w:cs="Times New Roman"/>
      <w:b/>
      <w:bCs/>
      <w:sz w:val="20"/>
      <w:szCs w:val="20"/>
      <w:lang w:val="x-none" w:eastAsia="x-none"/>
    </w:rPr>
  </w:style>
  <w:style w:type="character" w:styleId="FollowedHyperlink">
    <w:name w:val="FollowedHyperlink"/>
    <w:rsid w:val="006667B2"/>
    <w:rPr>
      <w:color w:val="800080"/>
      <w:u w:val="single"/>
    </w:rPr>
  </w:style>
  <w:style w:type="paragraph" w:customStyle="1" w:styleId="ColorfulList-Accent11">
    <w:name w:val="Colorful List - Accent 11"/>
    <w:basedOn w:val="Normal"/>
    <w:uiPriority w:val="34"/>
    <w:qFormat/>
    <w:rsid w:val="006667B2"/>
    <w:pPr>
      <w:ind w:left="720"/>
      <w:contextualSpacing/>
    </w:pPr>
    <w:rPr>
      <w:rFonts w:eastAsia="Calibri"/>
      <w:szCs w:val="22"/>
    </w:rPr>
  </w:style>
  <w:style w:type="paragraph" w:styleId="TOC1">
    <w:name w:val="toc 1"/>
    <w:basedOn w:val="Normal"/>
    <w:next w:val="Normal"/>
    <w:autoRedefine/>
    <w:uiPriority w:val="39"/>
    <w:rsid w:val="009A611E"/>
    <w:pPr>
      <w:tabs>
        <w:tab w:val="right" w:pos="9926"/>
      </w:tabs>
      <w:spacing w:before="120" w:after="120"/>
      <w:jc w:val="right"/>
    </w:pPr>
    <w:rPr>
      <w:rFonts w:asciiTheme="minorHAnsi" w:hAnsiTheme="minorHAnsi" w:cstheme="minorHAnsi"/>
      <w:b/>
      <w:bCs/>
      <w:caps/>
      <w:sz w:val="20"/>
      <w:szCs w:val="20"/>
    </w:rPr>
  </w:style>
  <w:style w:type="paragraph" w:styleId="TOC2">
    <w:name w:val="toc 2"/>
    <w:basedOn w:val="Normal"/>
    <w:next w:val="Normal"/>
    <w:autoRedefine/>
    <w:uiPriority w:val="39"/>
    <w:rsid w:val="00325BAD"/>
    <w:pPr>
      <w:ind w:left="220"/>
      <w:jc w:val="left"/>
    </w:pPr>
    <w:rPr>
      <w:rFonts w:asciiTheme="minorHAnsi" w:hAnsiTheme="minorHAnsi" w:cstheme="minorHAnsi"/>
      <w:smallCaps/>
      <w:sz w:val="20"/>
      <w:szCs w:val="20"/>
    </w:rPr>
  </w:style>
  <w:style w:type="paragraph" w:styleId="ListParagraph">
    <w:name w:val="List Paragraph"/>
    <w:basedOn w:val="Normal"/>
    <w:uiPriority w:val="34"/>
    <w:qFormat/>
    <w:rsid w:val="00BE00E5"/>
    <w:pPr>
      <w:ind w:left="720"/>
    </w:pPr>
    <w:rPr>
      <w:rFonts w:eastAsia="Calibri"/>
      <w:szCs w:val="22"/>
    </w:rPr>
  </w:style>
  <w:style w:type="paragraph" w:customStyle="1" w:styleId="CM1">
    <w:name w:val="CM1"/>
    <w:basedOn w:val="Default"/>
    <w:next w:val="Default"/>
    <w:uiPriority w:val="99"/>
    <w:rsid w:val="006667B2"/>
    <w:pPr>
      <w:spacing w:line="256" w:lineRule="atLeast"/>
    </w:pPr>
    <w:rPr>
      <w:rFonts w:ascii="Arial" w:hAnsi="Arial" w:cs="Arial"/>
      <w:color w:val="auto"/>
    </w:rPr>
  </w:style>
  <w:style w:type="paragraph" w:customStyle="1" w:styleId="CM8">
    <w:name w:val="CM8"/>
    <w:basedOn w:val="Default"/>
    <w:next w:val="Default"/>
    <w:uiPriority w:val="99"/>
    <w:rsid w:val="006667B2"/>
    <w:rPr>
      <w:rFonts w:ascii="Arial" w:hAnsi="Arial" w:cs="Arial"/>
      <w:color w:val="auto"/>
    </w:rPr>
  </w:style>
  <w:style w:type="paragraph" w:customStyle="1" w:styleId="CM11">
    <w:name w:val="CM11"/>
    <w:basedOn w:val="Default"/>
    <w:next w:val="Default"/>
    <w:uiPriority w:val="99"/>
    <w:rsid w:val="006667B2"/>
    <w:rPr>
      <w:rFonts w:ascii="Arial" w:hAnsi="Arial" w:cs="Arial"/>
      <w:color w:val="auto"/>
    </w:rPr>
  </w:style>
  <w:style w:type="paragraph" w:customStyle="1" w:styleId="CM12">
    <w:name w:val="CM12"/>
    <w:basedOn w:val="Default"/>
    <w:next w:val="Default"/>
    <w:uiPriority w:val="99"/>
    <w:rsid w:val="006667B2"/>
    <w:rPr>
      <w:rFonts w:ascii="Arial" w:hAnsi="Arial" w:cs="Arial"/>
      <w:color w:val="auto"/>
    </w:rPr>
  </w:style>
  <w:style w:type="paragraph" w:customStyle="1" w:styleId="CM9">
    <w:name w:val="CM9"/>
    <w:basedOn w:val="Default"/>
    <w:next w:val="Default"/>
    <w:uiPriority w:val="99"/>
    <w:rsid w:val="006667B2"/>
    <w:rPr>
      <w:rFonts w:ascii="Arial" w:hAnsi="Arial" w:cs="Arial"/>
      <w:color w:val="auto"/>
    </w:rPr>
  </w:style>
  <w:style w:type="paragraph" w:customStyle="1" w:styleId="CM10">
    <w:name w:val="CM10"/>
    <w:basedOn w:val="Default"/>
    <w:next w:val="Default"/>
    <w:uiPriority w:val="99"/>
    <w:rsid w:val="006667B2"/>
    <w:rPr>
      <w:rFonts w:ascii="Arial" w:hAnsi="Arial" w:cs="Arial"/>
      <w:color w:val="auto"/>
    </w:rPr>
  </w:style>
  <w:style w:type="paragraph" w:styleId="Revision">
    <w:name w:val="Revision"/>
    <w:hidden/>
    <w:uiPriority w:val="99"/>
    <w:semiHidden/>
    <w:rsid w:val="006667B2"/>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6667B2"/>
    <w:rPr>
      <w:color w:val="605E5C"/>
      <w:shd w:val="clear" w:color="auto" w:fill="E1DFDD"/>
    </w:rPr>
  </w:style>
  <w:style w:type="paragraph" w:customStyle="1" w:styleId="CDBGArial11BOLD">
    <w:name w:val="CDBG Arial 11 BOLD"/>
    <w:basedOn w:val="Heading2"/>
    <w:qFormat/>
    <w:rsid w:val="006667B2"/>
    <w:rPr>
      <w:sz w:val="22"/>
      <w:u w:val="none"/>
      <w:lang w:val="en"/>
    </w:rPr>
  </w:style>
  <w:style w:type="paragraph" w:customStyle="1" w:styleId="CDBGSUBHEADL-justify">
    <w:name w:val="CDBG SUB HEAD L-justify"/>
    <w:basedOn w:val="Heading1"/>
    <w:qFormat/>
    <w:rsid w:val="006667B2"/>
    <w:pPr>
      <w:jc w:val="left"/>
    </w:pPr>
    <w:rPr>
      <w:sz w:val="28"/>
      <w:szCs w:val="32"/>
    </w:rPr>
  </w:style>
  <w:style w:type="paragraph" w:customStyle="1" w:styleId="CDBGArial11BoldUnderlined">
    <w:name w:val="CDBG Arial 11 Bold &amp; Underlined"/>
    <w:basedOn w:val="CDBGBODYSTYLE"/>
    <w:qFormat/>
    <w:rsid w:val="006667B2"/>
    <w:rPr>
      <w:b/>
      <w:u w:val="single"/>
    </w:rPr>
  </w:style>
  <w:style w:type="character" w:styleId="CommentReference">
    <w:name w:val="annotation reference"/>
    <w:rsid w:val="006667B2"/>
    <w:rPr>
      <w:sz w:val="16"/>
      <w:szCs w:val="16"/>
    </w:rPr>
  </w:style>
  <w:style w:type="paragraph" w:customStyle="1" w:styleId="1CDGBbodyArial11">
    <w:name w:val="1 CDGB body Arial 11"/>
    <w:basedOn w:val="Normal"/>
    <w:qFormat/>
    <w:rsid w:val="006667B2"/>
    <w:pPr>
      <w:spacing w:line="280" w:lineRule="exact"/>
    </w:pPr>
    <w:rPr>
      <w:rFonts w:cs="Arial"/>
    </w:rPr>
  </w:style>
  <w:style w:type="character" w:customStyle="1" w:styleId="apple-converted-space">
    <w:name w:val="apple-converted-space"/>
    <w:basedOn w:val="DefaultParagraphFont"/>
    <w:rsid w:val="006667B2"/>
  </w:style>
  <w:style w:type="paragraph" w:customStyle="1" w:styleId="indent-2">
    <w:name w:val="indent-2"/>
    <w:basedOn w:val="Normal"/>
    <w:rsid w:val="006667B2"/>
    <w:pPr>
      <w:spacing w:before="100" w:beforeAutospacing="1" w:after="100" w:afterAutospacing="1"/>
    </w:pPr>
  </w:style>
  <w:style w:type="character" w:customStyle="1" w:styleId="paragraph-hierarchy">
    <w:name w:val="paragraph-hierarchy"/>
    <w:basedOn w:val="DefaultParagraphFont"/>
    <w:rsid w:val="006667B2"/>
  </w:style>
  <w:style w:type="character" w:customStyle="1" w:styleId="paren">
    <w:name w:val="paren"/>
    <w:basedOn w:val="DefaultParagraphFont"/>
    <w:rsid w:val="006667B2"/>
  </w:style>
  <w:style w:type="paragraph" w:customStyle="1" w:styleId="1BODY-Arial11">
    <w:name w:val="1. BODY-Arial 11"/>
    <w:basedOn w:val="Normal"/>
    <w:autoRedefine/>
    <w:qFormat/>
    <w:rsid w:val="00FA2D28"/>
    <w:pPr>
      <w:keepNext/>
      <w:spacing w:line="280" w:lineRule="exact"/>
    </w:pPr>
    <w:rPr>
      <w:rFonts w:cs="Arial"/>
      <w:bCs/>
      <w:color w:val="000000" w:themeColor="text1"/>
      <w:sz w:val="20"/>
      <w:szCs w:val="20"/>
    </w:rPr>
  </w:style>
  <w:style w:type="paragraph" w:customStyle="1" w:styleId="4ArialBold14">
    <w:name w:val="4. Arial Bold 14"/>
    <w:basedOn w:val="Heading2"/>
    <w:qFormat/>
    <w:rsid w:val="00915542"/>
  </w:style>
  <w:style w:type="paragraph" w:styleId="FootnoteText">
    <w:name w:val="footnote text"/>
    <w:basedOn w:val="Normal"/>
    <w:link w:val="FootnoteTextChar"/>
    <w:uiPriority w:val="99"/>
    <w:semiHidden/>
    <w:unhideWhenUsed/>
    <w:rsid w:val="00D67B91"/>
    <w:rPr>
      <w:sz w:val="20"/>
      <w:szCs w:val="20"/>
    </w:rPr>
  </w:style>
  <w:style w:type="character" w:customStyle="1" w:styleId="FootnoteTextChar">
    <w:name w:val="Footnote Text Char"/>
    <w:basedOn w:val="DefaultParagraphFont"/>
    <w:link w:val="FootnoteText"/>
    <w:uiPriority w:val="99"/>
    <w:semiHidden/>
    <w:rsid w:val="00D67B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7B91"/>
    <w:rPr>
      <w:vertAlign w:val="superscript"/>
    </w:rPr>
  </w:style>
  <w:style w:type="paragraph" w:styleId="TOC3">
    <w:name w:val="toc 3"/>
    <w:basedOn w:val="Normal"/>
    <w:next w:val="Normal"/>
    <w:autoRedefine/>
    <w:uiPriority w:val="39"/>
    <w:unhideWhenUsed/>
    <w:rsid w:val="00B45217"/>
    <w:pPr>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B45217"/>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B45217"/>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B45217"/>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B45217"/>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45217"/>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45217"/>
    <w:pPr>
      <w:ind w:left="1760"/>
      <w:jc w:val="left"/>
    </w:pPr>
    <w:rPr>
      <w:rFonts w:asciiTheme="minorHAnsi" w:hAnsiTheme="minorHAnsi" w:cstheme="minorHAnsi"/>
      <w:sz w:val="18"/>
      <w:szCs w:val="18"/>
    </w:rPr>
  </w:style>
  <w:style w:type="character" w:customStyle="1" w:styleId="ui-provider">
    <w:name w:val="ui-provider"/>
    <w:basedOn w:val="DefaultParagraphFont"/>
    <w:rsid w:val="00A047D5"/>
  </w:style>
  <w:style w:type="paragraph" w:customStyle="1" w:styleId="pf0">
    <w:name w:val="pf0"/>
    <w:basedOn w:val="Normal"/>
    <w:rsid w:val="007E5785"/>
    <w:pPr>
      <w:spacing w:before="100" w:beforeAutospacing="1" w:after="100" w:afterAutospacing="1"/>
      <w:jc w:val="left"/>
    </w:pPr>
    <w:rPr>
      <w:rFonts w:ascii="Times New Roman" w:hAnsi="Times New Roman"/>
      <w:sz w:val="24"/>
    </w:rPr>
  </w:style>
  <w:style w:type="character" w:customStyle="1" w:styleId="cf01">
    <w:name w:val="cf01"/>
    <w:basedOn w:val="DefaultParagraphFont"/>
    <w:rsid w:val="007E5785"/>
    <w:rPr>
      <w:rFonts w:ascii="Segoe UI" w:hAnsi="Segoe UI" w:cs="Segoe UI" w:hint="default"/>
      <w:b/>
      <w:bCs/>
      <w:sz w:val="18"/>
      <w:szCs w:val="18"/>
    </w:rPr>
  </w:style>
  <w:style w:type="character" w:customStyle="1" w:styleId="cf11">
    <w:name w:val="cf11"/>
    <w:basedOn w:val="DefaultParagraphFont"/>
    <w:rsid w:val="007E57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73605">
      <w:bodyDiv w:val="1"/>
      <w:marLeft w:val="0"/>
      <w:marRight w:val="0"/>
      <w:marTop w:val="0"/>
      <w:marBottom w:val="0"/>
      <w:divBdr>
        <w:top w:val="none" w:sz="0" w:space="0" w:color="auto"/>
        <w:left w:val="none" w:sz="0" w:space="0" w:color="auto"/>
        <w:bottom w:val="none" w:sz="0" w:space="0" w:color="auto"/>
        <w:right w:val="none" w:sz="0" w:space="0" w:color="auto"/>
      </w:divBdr>
    </w:div>
    <w:div w:id="136189770">
      <w:bodyDiv w:val="1"/>
      <w:marLeft w:val="0"/>
      <w:marRight w:val="0"/>
      <w:marTop w:val="0"/>
      <w:marBottom w:val="0"/>
      <w:divBdr>
        <w:top w:val="none" w:sz="0" w:space="0" w:color="auto"/>
        <w:left w:val="none" w:sz="0" w:space="0" w:color="auto"/>
        <w:bottom w:val="none" w:sz="0" w:space="0" w:color="auto"/>
        <w:right w:val="none" w:sz="0" w:space="0" w:color="auto"/>
      </w:divBdr>
    </w:div>
    <w:div w:id="307171691">
      <w:bodyDiv w:val="1"/>
      <w:marLeft w:val="0"/>
      <w:marRight w:val="0"/>
      <w:marTop w:val="0"/>
      <w:marBottom w:val="0"/>
      <w:divBdr>
        <w:top w:val="none" w:sz="0" w:space="0" w:color="auto"/>
        <w:left w:val="none" w:sz="0" w:space="0" w:color="auto"/>
        <w:bottom w:val="none" w:sz="0" w:space="0" w:color="auto"/>
        <w:right w:val="none" w:sz="0" w:space="0" w:color="auto"/>
      </w:divBdr>
    </w:div>
    <w:div w:id="639924146">
      <w:bodyDiv w:val="1"/>
      <w:marLeft w:val="0"/>
      <w:marRight w:val="0"/>
      <w:marTop w:val="0"/>
      <w:marBottom w:val="0"/>
      <w:divBdr>
        <w:top w:val="none" w:sz="0" w:space="0" w:color="auto"/>
        <w:left w:val="none" w:sz="0" w:space="0" w:color="auto"/>
        <w:bottom w:val="none" w:sz="0" w:space="0" w:color="auto"/>
        <w:right w:val="none" w:sz="0" w:space="0" w:color="auto"/>
      </w:divBdr>
    </w:div>
    <w:div w:id="935789621">
      <w:bodyDiv w:val="1"/>
      <w:marLeft w:val="0"/>
      <w:marRight w:val="0"/>
      <w:marTop w:val="0"/>
      <w:marBottom w:val="0"/>
      <w:divBdr>
        <w:top w:val="none" w:sz="0" w:space="0" w:color="auto"/>
        <w:left w:val="none" w:sz="0" w:space="0" w:color="auto"/>
        <w:bottom w:val="none" w:sz="0" w:space="0" w:color="auto"/>
        <w:right w:val="none" w:sz="0" w:space="0" w:color="auto"/>
      </w:divBdr>
    </w:div>
    <w:div w:id="1839346676">
      <w:bodyDiv w:val="1"/>
      <w:marLeft w:val="0"/>
      <w:marRight w:val="0"/>
      <w:marTop w:val="0"/>
      <w:marBottom w:val="0"/>
      <w:divBdr>
        <w:top w:val="none" w:sz="0" w:space="0" w:color="auto"/>
        <w:left w:val="none" w:sz="0" w:space="0" w:color="auto"/>
        <w:bottom w:val="none" w:sz="0" w:space="0" w:color="auto"/>
        <w:right w:val="none" w:sz="0" w:space="0" w:color="auto"/>
      </w:divBdr>
    </w:div>
    <w:div w:id="18994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BG_EnvReview@TexasAgriculture.gov" TargetMode="External"/><Relationship Id="rId13" Type="http://schemas.openxmlformats.org/officeDocument/2006/relationships/hyperlink" Target="https://www.thc.texas.gov/etrac-system" TargetMode="External"/><Relationship Id="rId18" Type="http://schemas.openxmlformats.org/officeDocument/2006/relationships/hyperlink" Target="http://www.access.gpo.gov/nara/cfr/waisidx_04/24cfr55_04.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cfr.gov/current/title-24/subtitle-A/part-58" TargetMode="External"/><Relationship Id="rId7" Type="http://schemas.openxmlformats.org/officeDocument/2006/relationships/endnotes" Target="endnotes.xml"/><Relationship Id="rId12" Type="http://schemas.openxmlformats.org/officeDocument/2006/relationships/hyperlink" Target="mailto:CDBG_EnvReview@TexasAgriculture.gov" TargetMode="External"/><Relationship Id="rId17" Type="http://schemas.openxmlformats.org/officeDocument/2006/relationships/hyperlink" Target="http://www.access.gpo.gov/nara/cfr/waisidx_04/24cfr51_04.html" TargetMode="External"/><Relationship Id="rId25" Type="http://schemas.openxmlformats.org/officeDocument/2006/relationships/hyperlink" Target="https://www.hudexchange.info/resource/3197/guidance-categorizing-activity-as-maintenance-environmental-regulations-24-cfr-parts-50-and-58/" TargetMode="External"/><Relationship Id="rId2" Type="http://schemas.openxmlformats.org/officeDocument/2006/relationships/numbering" Target="numbering.xml"/><Relationship Id="rId16" Type="http://schemas.openxmlformats.org/officeDocument/2006/relationships/hyperlink" Target="https://www.hudexchange.info/resource/2338/hud-form-701515-request-release-funds-certification/" TargetMode="External"/><Relationship Id="rId20" Type="http://schemas.openxmlformats.org/officeDocument/2006/relationships/hyperlink" Target="http://www.access.gpo.gov/nara/cfr/waisidx_04/36cfr800_0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vp42\tbd\CDBG\Training%20and%20Resources\Implementation%20Manual\202X%20Imp%20Man%20proposed%20edits\www.HUDExchange.info" TargetMode="External"/><Relationship Id="rId24" Type="http://schemas.openxmlformats.org/officeDocument/2006/relationships/hyperlink" Target="https://www.hudexchange.info/resource/2448/notice-cpd-12-006-tribal-consultation-under-24-cfr-part-58/" TargetMode="External"/><Relationship Id="rId5" Type="http://schemas.openxmlformats.org/officeDocument/2006/relationships/webSettings" Target="webSettings.xml"/><Relationship Id="rId15" Type="http://schemas.openxmlformats.org/officeDocument/2006/relationships/hyperlink" Target="https://www.hudexchange.info/programs/environmental-review/floodplain-management/" TargetMode="External"/><Relationship Id="rId23" Type="http://schemas.openxmlformats.org/officeDocument/2006/relationships/hyperlink" Target="https://www.hudexchange.info/resource/5662/notice-cpd-17-13-notice-for-interpreting-the-limits-of-the-floodway-for-linear-infrastructure-projects-complying-with-hud-floodplain-management-regulations/" TargetMode="External"/><Relationship Id="rId28" Type="http://schemas.openxmlformats.org/officeDocument/2006/relationships/footer" Target="footer1.xml"/><Relationship Id="rId10" Type="http://schemas.openxmlformats.org/officeDocument/2006/relationships/hyperlink" Target="https://www.fema.gov/flood-insurance/work-with-nfip/community-status-book" TargetMode="External"/><Relationship Id="rId19" Type="http://schemas.openxmlformats.org/officeDocument/2006/relationships/hyperlink" Target="http://www.access.gpo.gov/nara/cfr/waisidx_04/24cfr58_04.html" TargetMode="External"/><Relationship Id="rId4" Type="http://schemas.openxmlformats.org/officeDocument/2006/relationships/settings" Target="settings.xml"/><Relationship Id="rId9" Type="http://schemas.openxmlformats.org/officeDocument/2006/relationships/hyperlink" Target="mailto:CDBG_EnvReview@TexasAgriculture.gov" TargetMode="External"/><Relationship Id="rId14" Type="http://schemas.openxmlformats.org/officeDocument/2006/relationships/hyperlink" Target="https://egis.hud.gov/tdat/" TargetMode="External"/><Relationship Id="rId22" Type="http://schemas.openxmlformats.org/officeDocument/2006/relationships/hyperlink" Target="https://www.hudexchange.info/programs/environmental-review/"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program_offices/comm_planning/environment_energy/ff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B99F-2BA8-4B1B-B7D8-E240FBBC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20</Pages>
  <Words>9148</Words>
  <Characters>56357</Characters>
  <Application>Microsoft Office Word</Application>
  <DocSecurity>0</DocSecurity>
  <Lines>1565</Lines>
  <Paragraphs>668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TABLE OF CONTENTS </vt:lpstr>
      <vt:lpstr>    3.0.1 Basis of Environmental Review</vt:lpstr>
      <vt:lpstr>    3.0.2 Timing of the Environmental Review and Choice-Limiting Actions</vt:lpstr>
      <vt:lpstr>    3.1.1 Step 1. Determine Project Description </vt:lpstr>
      <vt:lpstr>    3.1.2 Step 2. Determine the Level of Review</vt:lpstr>
      <vt:lpstr>    3.1.3 Step 3. Complete Checklists</vt:lpstr>
      <vt:lpstr>    Additional Guidance for Certain Review Requirements</vt:lpstr>
      <vt:lpstr>    3.1.4 Step 4. Publish Notices</vt:lpstr>
      <vt:lpstr>    3.1.5 Step 5. Certifications</vt:lpstr>
      <vt:lpstr>    3.1.6 Step 6. Submit Clearance Documentation to TDA</vt:lpstr>
      <vt:lpstr>    3.1.7 Step 7. State Objection Period and Release of Funds</vt:lpstr>
      <vt:lpstr>    3.1.8 Step 8. State’s Post-Release Review</vt:lpstr>
      <vt:lpstr>    3.1.9 Step 9. Re-Evaluation of the Environmental Determination and Subsequent Am</vt:lpstr>
      <vt:lpstr>3.2 Environmental Laws and Regulations</vt:lpstr>
      <vt:lpstr>3.2.1 Laws</vt:lpstr>
      <vt:lpstr>3.2.2 Regulations</vt:lpstr>
    </vt:vector>
  </TitlesOfParts>
  <Company/>
  <LinksUpToDate>false</LinksUpToDate>
  <CharactersWithSpaces>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47</cp:revision>
  <cp:lastPrinted>2024-04-16T18:34:00Z</cp:lastPrinted>
  <dcterms:created xsi:type="dcterms:W3CDTF">2023-07-07T04:09:00Z</dcterms:created>
  <dcterms:modified xsi:type="dcterms:W3CDTF">2024-07-13T22:22:00Z</dcterms:modified>
</cp:coreProperties>
</file>